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2221F" w14:textId="77777777" w:rsidR="000E1174" w:rsidRPr="000E1174" w:rsidRDefault="000E1174" w:rsidP="00B81C84">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УДК 631.333</w:t>
      </w:r>
    </w:p>
    <w:p w14:paraId="5433ED08" w14:textId="77777777" w:rsidR="000E1174" w:rsidRPr="000E1174" w:rsidRDefault="000E1174" w:rsidP="00B81C84">
      <w:pPr>
        <w:spacing w:after="0" w:line="276" w:lineRule="auto"/>
        <w:rPr>
          <w:rFonts w:ascii="Times New Roman" w:hAnsi="Times New Roman" w:cs="Times New Roman"/>
          <w:sz w:val="28"/>
          <w:szCs w:val="28"/>
        </w:rPr>
      </w:pPr>
    </w:p>
    <w:p w14:paraId="671929CA" w14:textId="77777777" w:rsidR="000E1174" w:rsidRPr="000E1174" w:rsidRDefault="000E1174" w:rsidP="00B81C84">
      <w:pPr>
        <w:spacing w:after="0" w:line="276" w:lineRule="auto"/>
        <w:jc w:val="center"/>
        <w:rPr>
          <w:rFonts w:ascii="Times New Roman" w:hAnsi="Times New Roman" w:cs="Times New Roman"/>
          <w:b/>
          <w:bCs/>
          <w:sz w:val="28"/>
          <w:szCs w:val="28"/>
        </w:rPr>
      </w:pPr>
      <w:r w:rsidRPr="000E1174">
        <w:rPr>
          <w:rFonts w:ascii="Times New Roman" w:hAnsi="Times New Roman" w:cs="Times New Roman"/>
          <w:b/>
          <w:bCs/>
          <w:sz w:val="28"/>
          <w:szCs w:val="28"/>
        </w:rPr>
        <w:t>АНАЛІЗ ТЕХНІЧНИХ ПАРАМЕТРІВ РОБОЧИХ ОРГАНІВ МАШИН ДЛЯ ВНЕСЕННЯ ОРГАНОМІНЕРАЛЬНИХ ДОБРИВ</w:t>
      </w:r>
    </w:p>
    <w:p w14:paraId="4B651B13" w14:textId="77777777" w:rsidR="000E1174" w:rsidRDefault="000E1174" w:rsidP="00B81C84">
      <w:pPr>
        <w:spacing w:after="0" w:line="276" w:lineRule="auto"/>
        <w:rPr>
          <w:rFonts w:ascii="Times New Roman" w:hAnsi="Times New Roman" w:cs="Times New Roman"/>
          <w:sz w:val="28"/>
          <w:szCs w:val="28"/>
        </w:rPr>
      </w:pPr>
    </w:p>
    <w:p w14:paraId="3D5C5F90" w14:textId="0B8E6AA3" w:rsidR="000E1174" w:rsidRDefault="000E1174" w:rsidP="00B81C84">
      <w:pPr>
        <w:spacing w:after="0" w:line="276" w:lineRule="auto"/>
        <w:jc w:val="center"/>
        <w:rPr>
          <w:rFonts w:ascii="Times New Roman" w:hAnsi="Times New Roman" w:cs="Times New Roman"/>
          <w:sz w:val="28"/>
          <w:szCs w:val="28"/>
        </w:rPr>
      </w:pPr>
      <w:r w:rsidRPr="000E1174">
        <w:rPr>
          <w:rFonts w:ascii="Times New Roman" w:hAnsi="Times New Roman" w:cs="Times New Roman"/>
          <w:b/>
          <w:bCs/>
          <w:sz w:val="28"/>
          <w:szCs w:val="28"/>
        </w:rPr>
        <w:t>Савченко В.М.</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r w:rsidRPr="000E1174">
        <w:rPr>
          <w:rFonts w:ascii="Times New Roman" w:hAnsi="Times New Roman" w:cs="Times New Roman"/>
          <w:b/>
          <w:bCs/>
          <w:sz w:val="28"/>
          <w:szCs w:val="28"/>
        </w:rPr>
        <w:t>Шепель О.В.</w:t>
      </w:r>
      <w:r>
        <w:rPr>
          <w:rFonts w:ascii="Times New Roman" w:hAnsi="Times New Roman" w:cs="Times New Roman"/>
          <w:sz w:val="28"/>
          <w:szCs w:val="28"/>
        </w:rPr>
        <w:t xml:space="preserve"> здобувач освіти</w:t>
      </w:r>
    </w:p>
    <w:p w14:paraId="487FA613" w14:textId="23970AED" w:rsidR="000E1174" w:rsidRPr="00B81C84" w:rsidRDefault="000E1174" w:rsidP="00B81C84">
      <w:pPr>
        <w:spacing w:after="0" w:line="276" w:lineRule="auto"/>
        <w:jc w:val="center"/>
        <w:rPr>
          <w:rFonts w:ascii="Times New Roman" w:hAnsi="Times New Roman" w:cs="Times New Roman"/>
          <w:i/>
          <w:iCs/>
          <w:sz w:val="28"/>
          <w:szCs w:val="28"/>
        </w:rPr>
      </w:pPr>
      <w:r w:rsidRPr="00B81C84">
        <w:rPr>
          <w:rFonts w:ascii="Times New Roman" w:hAnsi="Times New Roman" w:cs="Times New Roman"/>
          <w:i/>
          <w:iCs/>
          <w:sz w:val="28"/>
          <w:szCs w:val="28"/>
        </w:rPr>
        <w:t>Поліський національний університет, м. Житомир</w:t>
      </w:r>
    </w:p>
    <w:p w14:paraId="48B14374" w14:textId="77777777" w:rsidR="000E1174" w:rsidRPr="000E1174" w:rsidRDefault="000E1174" w:rsidP="00B81C84">
      <w:pPr>
        <w:spacing w:after="0" w:line="276" w:lineRule="auto"/>
        <w:jc w:val="center"/>
        <w:rPr>
          <w:rFonts w:ascii="Times New Roman" w:hAnsi="Times New Roman" w:cs="Times New Roman"/>
          <w:sz w:val="28"/>
          <w:szCs w:val="28"/>
        </w:rPr>
      </w:pPr>
    </w:p>
    <w:p w14:paraId="00CC88F0"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 xml:space="preserve">Підвищення ефективності сільськогосподарського виробництва значною мірою залежить від раціонального використання добрив та технічного забезпечення процесу їх внесення. Одним із перспективних напрямів відтворення родючості ґрунтів є застосування </w:t>
      </w:r>
      <w:proofErr w:type="spellStart"/>
      <w:r w:rsidRPr="000E1174">
        <w:rPr>
          <w:rFonts w:ascii="Times New Roman" w:hAnsi="Times New Roman" w:cs="Times New Roman"/>
          <w:sz w:val="28"/>
          <w:szCs w:val="28"/>
        </w:rPr>
        <w:t>органомінеральних</w:t>
      </w:r>
      <w:proofErr w:type="spellEnd"/>
      <w:r w:rsidRPr="000E1174">
        <w:rPr>
          <w:rFonts w:ascii="Times New Roman" w:hAnsi="Times New Roman" w:cs="Times New Roman"/>
          <w:sz w:val="28"/>
          <w:szCs w:val="28"/>
        </w:rPr>
        <w:t xml:space="preserve"> добрив, які поєднують позитивні властивості органічної та мінеральної складових. Ефективність їх використання визначається не лише складом і нормою внесення, а й якістю виконання технологічної операції, яка безпосередньо залежить від конструкції та технічних параметрів робочих органів машин.</w:t>
      </w:r>
    </w:p>
    <w:p w14:paraId="4F59668F" w14:textId="77777777" w:rsidR="000E1174" w:rsidRPr="000E1174" w:rsidRDefault="000E1174" w:rsidP="00B81C84">
      <w:pPr>
        <w:spacing w:after="0" w:line="276" w:lineRule="auto"/>
        <w:ind w:firstLine="709"/>
        <w:jc w:val="both"/>
        <w:rPr>
          <w:rFonts w:ascii="Times New Roman" w:hAnsi="Times New Roman" w:cs="Times New Roman"/>
          <w:sz w:val="28"/>
          <w:szCs w:val="28"/>
        </w:rPr>
      </w:pPr>
      <w:proofErr w:type="spellStart"/>
      <w:r w:rsidRPr="000E1174">
        <w:rPr>
          <w:rFonts w:ascii="Times New Roman" w:hAnsi="Times New Roman" w:cs="Times New Roman"/>
          <w:sz w:val="28"/>
          <w:szCs w:val="28"/>
        </w:rPr>
        <w:t>Органомінеральні</w:t>
      </w:r>
      <w:proofErr w:type="spellEnd"/>
      <w:r w:rsidRPr="000E1174">
        <w:rPr>
          <w:rFonts w:ascii="Times New Roman" w:hAnsi="Times New Roman" w:cs="Times New Roman"/>
          <w:sz w:val="28"/>
          <w:szCs w:val="28"/>
        </w:rPr>
        <w:t xml:space="preserve"> добрива можуть мати різний гранулометричний склад, вологість, насипну щільність, сипкість, коефіцієнти внутрішнього і зовнішнього тертя. Зміна фізико-механічних властивостей матеріалу суттєво впливає на процес його переміщення в бункері, дозування, подачу до розсіювальних органів та рівномірність розподілу по поверхні поля. Тому конструктивні й кінематичні параметри робочих органів необхідно узгоджувати з властивостями конкретного виду </w:t>
      </w:r>
      <w:proofErr w:type="spellStart"/>
      <w:r w:rsidRPr="000E1174">
        <w:rPr>
          <w:rFonts w:ascii="Times New Roman" w:hAnsi="Times New Roman" w:cs="Times New Roman"/>
          <w:sz w:val="28"/>
          <w:szCs w:val="28"/>
        </w:rPr>
        <w:t>органомінерального</w:t>
      </w:r>
      <w:proofErr w:type="spellEnd"/>
      <w:r w:rsidRPr="000E1174">
        <w:rPr>
          <w:rFonts w:ascii="Times New Roman" w:hAnsi="Times New Roman" w:cs="Times New Roman"/>
          <w:sz w:val="28"/>
          <w:szCs w:val="28"/>
        </w:rPr>
        <w:t xml:space="preserve"> добрива.</w:t>
      </w:r>
    </w:p>
    <w:p w14:paraId="74463C73"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 xml:space="preserve">До основних робочих органів машин для поверхневого внесення сипких </w:t>
      </w:r>
      <w:proofErr w:type="spellStart"/>
      <w:r w:rsidRPr="000E1174">
        <w:rPr>
          <w:rFonts w:ascii="Times New Roman" w:hAnsi="Times New Roman" w:cs="Times New Roman"/>
          <w:sz w:val="28"/>
          <w:szCs w:val="28"/>
        </w:rPr>
        <w:t>органомінеральних</w:t>
      </w:r>
      <w:proofErr w:type="spellEnd"/>
      <w:r w:rsidRPr="000E1174">
        <w:rPr>
          <w:rFonts w:ascii="Times New Roman" w:hAnsi="Times New Roman" w:cs="Times New Roman"/>
          <w:sz w:val="28"/>
          <w:szCs w:val="28"/>
        </w:rPr>
        <w:t xml:space="preserve"> добрив належать дозувальні пристрої, живильники, транспортери та розсіювальні механізми. В сучасних машинах значного поширення набули відцентрові дискові робочі органи. Їх перевагами є відносна простота конструкції, висока продуктивність, можливість забезпечення значної ширини захвату та регулювання норми внесення. Дослідження відцентрових розсіювальних систем свідчать, що їх ефективність істотно залежить від геометричних параметрів диска і лопаток, частоти обертання та місця подачі матеріалу на диск [1, 2].</w:t>
      </w:r>
    </w:p>
    <w:p w14:paraId="595011BA"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 xml:space="preserve">До основних технічних параметрів відцентрового робочого </w:t>
      </w:r>
      <w:proofErr w:type="spellStart"/>
      <w:r w:rsidRPr="000E1174">
        <w:rPr>
          <w:rFonts w:ascii="Times New Roman" w:hAnsi="Times New Roman" w:cs="Times New Roman"/>
          <w:sz w:val="28"/>
          <w:szCs w:val="28"/>
        </w:rPr>
        <w:t>органа</w:t>
      </w:r>
      <w:proofErr w:type="spellEnd"/>
      <w:r w:rsidRPr="000E1174">
        <w:rPr>
          <w:rFonts w:ascii="Times New Roman" w:hAnsi="Times New Roman" w:cs="Times New Roman"/>
          <w:sz w:val="28"/>
          <w:szCs w:val="28"/>
        </w:rPr>
        <w:t xml:space="preserve"> належать діаметр диска, кількість, довжина та форма лопаток, кут їх установлення, висота розташування диска над поверхнею поля та частота його обертання. Збільшення частоти обертання робочого </w:t>
      </w:r>
      <w:proofErr w:type="spellStart"/>
      <w:r w:rsidRPr="000E1174">
        <w:rPr>
          <w:rFonts w:ascii="Times New Roman" w:hAnsi="Times New Roman" w:cs="Times New Roman"/>
          <w:sz w:val="28"/>
          <w:szCs w:val="28"/>
        </w:rPr>
        <w:t>органа</w:t>
      </w:r>
      <w:proofErr w:type="spellEnd"/>
      <w:r w:rsidRPr="000E1174">
        <w:rPr>
          <w:rFonts w:ascii="Times New Roman" w:hAnsi="Times New Roman" w:cs="Times New Roman"/>
          <w:sz w:val="28"/>
          <w:szCs w:val="28"/>
        </w:rPr>
        <w:t xml:space="preserve"> призводить до підвищення швидкості сходження частинок добрив із лопаток і, відповідно, збільшення дальності їх польоту. Водночас надмірна швидкість може </w:t>
      </w:r>
      <w:r w:rsidRPr="000E1174">
        <w:rPr>
          <w:rFonts w:ascii="Times New Roman" w:hAnsi="Times New Roman" w:cs="Times New Roman"/>
          <w:sz w:val="28"/>
          <w:szCs w:val="28"/>
        </w:rPr>
        <w:lastRenderedPageBreak/>
        <w:t>спричинити руйнування гранул, збільшення кількості пилоподібних частинок та погіршення рівномірності розподілу матеріалу.</w:t>
      </w:r>
    </w:p>
    <w:p w14:paraId="6F694015"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Діаметр розсіювального диска та довжина лопаток визначають тривалість контакту частинок добрив із робочою поверхнею та значною мірою формують їх кінематичні параметри в момент сходження. Важливе значення має також кут установлення лопаток, від якого залежить напрям абсолютної швидкості руху частинок та характер формування смуги розсівання. Удосконалення конструкції лопаток дозволяє підвищити дальність транспортування частинок і поліпшити рівномірність їх розподілу [3].</w:t>
      </w:r>
    </w:p>
    <w:p w14:paraId="40BF4CE8"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 xml:space="preserve">Одним із ключових показників якості роботи машин є рівномірність внесення добрив по ширині захвату. Вона залежить не лише від параметрів розсіювальних дисків, а й від стабільності подачі матеріалу. За нерівномірної роботи дозатора або живильника змінюється кількість добрив, що надходить на робочий орган, унаслідок чого виникають ділянки з недостатньою або надлишковою нормою внесення. Особливо важливим це є для </w:t>
      </w:r>
      <w:proofErr w:type="spellStart"/>
      <w:r w:rsidRPr="000E1174">
        <w:rPr>
          <w:rFonts w:ascii="Times New Roman" w:hAnsi="Times New Roman" w:cs="Times New Roman"/>
          <w:sz w:val="28"/>
          <w:szCs w:val="28"/>
        </w:rPr>
        <w:t>органомінеральних</w:t>
      </w:r>
      <w:proofErr w:type="spellEnd"/>
      <w:r w:rsidRPr="000E1174">
        <w:rPr>
          <w:rFonts w:ascii="Times New Roman" w:hAnsi="Times New Roman" w:cs="Times New Roman"/>
          <w:sz w:val="28"/>
          <w:szCs w:val="28"/>
        </w:rPr>
        <w:t xml:space="preserve"> сумішей, компоненти яких можуть відрізнятися за щільністю та розмірами частинок.</w:t>
      </w:r>
    </w:p>
    <w:p w14:paraId="509C7A64"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Для забезпечення стабільної подачі застосовують гравітаційні, котушкові, шнекові та транспортерні дозувальні системи. Їх основними параметрами є площа прохідного перерізу дозувального вікна, швидкість руху транспортера або частота обертання дозатора, геометричні параметри робочих елементів та коефіцієнт заповнення. Раціональне узгодження продуктивності дозувального пристрою зі швидкістю руху агрегату є необхідною умовою дотримання заданої норми внесення.</w:t>
      </w:r>
    </w:p>
    <w:p w14:paraId="6FB34AD4"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Важливим напрямом удосконалення машин є застосування систем автоматичного регулювання подачі добрив залежно від швидкості руху машинно-тракторного агрегату. Перспективним є також використання технологій диференційованого внесення, за яких продуктивність дозувальних робочих органів автоматично змінюється відповідно до агрохімічних характеристик окремих ділянок поля. Це дозволяє підвищити ефективність використання добрив, зменшити непродуктивні витрати та створити передумови для реалізації принципів точного землеробства.</w:t>
      </w:r>
    </w:p>
    <w:p w14:paraId="67233F55"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t xml:space="preserve">Під час вибору раціональних параметрів робочих органів необхідно враховувати взаємозв’язок між продуктивністю машини, шириною захвату, швидкістю руху агрегату, нормою внесення та характеристиками добрив. Дослідження </w:t>
      </w:r>
      <w:proofErr w:type="spellStart"/>
      <w:r w:rsidRPr="000E1174">
        <w:rPr>
          <w:rFonts w:ascii="Times New Roman" w:hAnsi="Times New Roman" w:cs="Times New Roman"/>
          <w:sz w:val="28"/>
          <w:szCs w:val="28"/>
        </w:rPr>
        <w:t>конструктивно</w:t>
      </w:r>
      <w:proofErr w:type="spellEnd"/>
      <w:r w:rsidRPr="000E1174">
        <w:rPr>
          <w:rFonts w:ascii="Times New Roman" w:hAnsi="Times New Roman" w:cs="Times New Roman"/>
          <w:sz w:val="28"/>
          <w:szCs w:val="28"/>
        </w:rPr>
        <w:t>-технологічних схем машин показують, що стабілізація потоку матеріалу від бункера до розсіювального механізму є одним із основних факторів забезпечення заданої дози внесення незалежно від ступеня заповнення кузова [4].</w:t>
      </w:r>
    </w:p>
    <w:p w14:paraId="444E5254" w14:textId="77777777" w:rsidR="000E1174" w:rsidRPr="000E1174" w:rsidRDefault="000E1174" w:rsidP="00B81C84">
      <w:pPr>
        <w:spacing w:after="0" w:line="276" w:lineRule="auto"/>
        <w:ind w:firstLine="709"/>
        <w:jc w:val="both"/>
        <w:rPr>
          <w:rFonts w:ascii="Times New Roman" w:hAnsi="Times New Roman" w:cs="Times New Roman"/>
          <w:sz w:val="28"/>
          <w:szCs w:val="28"/>
        </w:rPr>
      </w:pPr>
      <w:r w:rsidRPr="000E1174">
        <w:rPr>
          <w:rFonts w:ascii="Times New Roman" w:hAnsi="Times New Roman" w:cs="Times New Roman"/>
          <w:sz w:val="28"/>
          <w:szCs w:val="28"/>
        </w:rPr>
        <w:lastRenderedPageBreak/>
        <w:t xml:space="preserve">Таким чином, аналіз технічних параметрів робочих органів машин для внесення </w:t>
      </w:r>
      <w:proofErr w:type="spellStart"/>
      <w:r w:rsidRPr="000E1174">
        <w:rPr>
          <w:rFonts w:ascii="Times New Roman" w:hAnsi="Times New Roman" w:cs="Times New Roman"/>
          <w:sz w:val="28"/>
          <w:szCs w:val="28"/>
        </w:rPr>
        <w:t>органомінеральних</w:t>
      </w:r>
      <w:proofErr w:type="spellEnd"/>
      <w:r w:rsidRPr="000E1174">
        <w:rPr>
          <w:rFonts w:ascii="Times New Roman" w:hAnsi="Times New Roman" w:cs="Times New Roman"/>
          <w:sz w:val="28"/>
          <w:szCs w:val="28"/>
        </w:rPr>
        <w:t xml:space="preserve"> добрив показує, що якість технологічного процесу визначається комплексною взаємодією конструктивних, кінематичних та технологічних факторів. Найбільший вплив мають параметри дозувального пристрою, діаметр і частота обертання розсіювальних дисків, геометрія та кут установлення лопаток, місце подачі матеріалу на диск, а також фізико-механічні властивості добрив. Подальше вдосконалення машин доцільно спрямувати на оптимізацію параметрів цих робочих органів, забезпечення стабільності дозування та впровадження автоматизованих систем керування технологічним процесом, що дозволить підвищити рівномірність внесення </w:t>
      </w:r>
      <w:proofErr w:type="spellStart"/>
      <w:r w:rsidRPr="000E1174">
        <w:rPr>
          <w:rFonts w:ascii="Times New Roman" w:hAnsi="Times New Roman" w:cs="Times New Roman"/>
          <w:sz w:val="28"/>
          <w:szCs w:val="28"/>
        </w:rPr>
        <w:t>органомінеральних</w:t>
      </w:r>
      <w:proofErr w:type="spellEnd"/>
      <w:r w:rsidRPr="000E1174">
        <w:rPr>
          <w:rFonts w:ascii="Times New Roman" w:hAnsi="Times New Roman" w:cs="Times New Roman"/>
          <w:sz w:val="28"/>
          <w:szCs w:val="28"/>
        </w:rPr>
        <w:t xml:space="preserve"> добрив та ефективність їх використання.</w:t>
      </w:r>
    </w:p>
    <w:p w14:paraId="0BB94B38" w14:textId="77777777" w:rsidR="000E1174" w:rsidRDefault="000E1174" w:rsidP="00B81C84">
      <w:pPr>
        <w:spacing w:after="0" w:line="276" w:lineRule="auto"/>
        <w:rPr>
          <w:rFonts w:ascii="Times New Roman" w:hAnsi="Times New Roman" w:cs="Times New Roman"/>
          <w:sz w:val="28"/>
          <w:szCs w:val="28"/>
        </w:rPr>
      </w:pPr>
    </w:p>
    <w:p w14:paraId="293A2962" w14:textId="77777777" w:rsidR="000E1174" w:rsidRPr="000E1174" w:rsidRDefault="000E1174" w:rsidP="00B81C84">
      <w:pPr>
        <w:spacing w:after="0" w:line="276" w:lineRule="auto"/>
        <w:rPr>
          <w:rFonts w:ascii="Times New Roman" w:hAnsi="Times New Roman" w:cs="Times New Roman"/>
          <w:sz w:val="28"/>
          <w:szCs w:val="28"/>
        </w:rPr>
      </w:pPr>
    </w:p>
    <w:p w14:paraId="69F0863A" w14:textId="5E8749A1" w:rsidR="0042298E" w:rsidRPr="000E1174" w:rsidRDefault="000E1174" w:rsidP="00B81C84">
      <w:pPr>
        <w:spacing w:after="0" w:line="276" w:lineRule="auto"/>
        <w:jc w:val="center"/>
        <w:rPr>
          <w:rFonts w:ascii="Times New Roman" w:hAnsi="Times New Roman" w:cs="Times New Roman"/>
          <w:b/>
          <w:bCs/>
          <w:sz w:val="28"/>
          <w:szCs w:val="28"/>
        </w:rPr>
      </w:pPr>
      <w:r w:rsidRPr="000E1174">
        <w:rPr>
          <w:rFonts w:ascii="Times New Roman" w:hAnsi="Times New Roman" w:cs="Times New Roman"/>
          <w:b/>
          <w:bCs/>
          <w:sz w:val="28"/>
          <w:szCs w:val="28"/>
        </w:rPr>
        <w:t>Список використаних джерел</w:t>
      </w:r>
    </w:p>
    <w:p w14:paraId="75CB1E13" w14:textId="77777777"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0E1174">
        <w:rPr>
          <w:rFonts w:ascii="Times New Roman" w:hAnsi="Times New Roman" w:cs="Times New Roman"/>
          <w:sz w:val="28"/>
          <w:szCs w:val="28"/>
        </w:rPr>
        <w:t xml:space="preserve">Кобець А. С., Науменко М. М., Пономаренко Н. О. Обґрунтування конструкції </w:t>
      </w:r>
      <w:proofErr w:type="spellStart"/>
      <w:r w:rsidRPr="000E1174">
        <w:rPr>
          <w:rFonts w:ascii="Times New Roman" w:hAnsi="Times New Roman" w:cs="Times New Roman"/>
          <w:sz w:val="28"/>
          <w:szCs w:val="28"/>
        </w:rPr>
        <w:t>чотирилопатевого</w:t>
      </w:r>
      <w:proofErr w:type="spellEnd"/>
      <w:r w:rsidRPr="000E1174">
        <w:rPr>
          <w:rFonts w:ascii="Times New Roman" w:hAnsi="Times New Roman" w:cs="Times New Roman"/>
          <w:sz w:val="28"/>
          <w:szCs w:val="28"/>
        </w:rPr>
        <w:t xml:space="preserve"> відцентрового розкидача мінеральних добрив. Конструювання, виробництво та експлуатація сільськогосподарських машин. 2013. </w:t>
      </w:r>
      <w:proofErr w:type="spellStart"/>
      <w:r w:rsidRPr="000E1174">
        <w:rPr>
          <w:rFonts w:ascii="Times New Roman" w:hAnsi="Times New Roman" w:cs="Times New Roman"/>
          <w:sz w:val="28"/>
          <w:szCs w:val="28"/>
        </w:rPr>
        <w:t>Вип</w:t>
      </w:r>
      <w:proofErr w:type="spellEnd"/>
      <w:r w:rsidRPr="000E1174">
        <w:rPr>
          <w:rFonts w:ascii="Times New Roman" w:hAnsi="Times New Roman" w:cs="Times New Roman"/>
          <w:sz w:val="28"/>
          <w:szCs w:val="28"/>
        </w:rPr>
        <w:t>. 43, ч. 1. С. 56–65.</w:t>
      </w:r>
    </w:p>
    <w:p w14:paraId="197BF0AB" w14:textId="63AE54D0"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0E1174">
        <w:rPr>
          <w:rFonts w:ascii="Times New Roman" w:hAnsi="Times New Roman" w:cs="Times New Roman"/>
          <w:sz w:val="28"/>
          <w:szCs w:val="28"/>
        </w:rPr>
        <w:t xml:space="preserve">Кобець А. С., Науменко М. М., Пономаренко Н. О. Обґрунтування конструктивних особливостей робочого </w:t>
      </w:r>
      <w:proofErr w:type="spellStart"/>
      <w:r w:rsidRPr="000E1174">
        <w:rPr>
          <w:rFonts w:ascii="Times New Roman" w:hAnsi="Times New Roman" w:cs="Times New Roman"/>
          <w:sz w:val="28"/>
          <w:szCs w:val="28"/>
        </w:rPr>
        <w:t>органа</w:t>
      </w:r>
      <w:proofErr w:type="spellEnd"/>
      <w:r w:rsidRPr="000E1174">
        <w:rPr>
          <w:rFonts w:ascii="Times New Roman" w:hAnsi="Times New Roman" w:cs="Times New Roman"/>
          <w:sz w:val="28"/>
          <w:szCs w:val="28"/>
        </w:rPr>
        <w:t xml:space="preserve"> розкидача мінеральних добрив відцентрового типу. </w:t>
      </w:r>
      <w:r>
        <w:rPr>
          <w:rFonts w:ascii="Times New Roman" w:hAnsi="Times New Roman" w:cs="Times New Roman"/>
          <w:sz w:val="28"/>
          <w:szCs w:val="28"/>
        </w:rPr>
        <w:t>Східно</w:t>
      </w:r>
      <w:r w:rsidRPr="000E1174">
        <w:rPr>
          <w:rFonts w:ascii="Times New Roman" w:hAnsi="Times New Roman" w:cs="Times New Roman"/>
          <w:sz w:val="28"/>
          <w:szCs w:val="28"/>
        </w:rPr>
        <w:t>-</w:t>
      </w:r>
      <w:r>
        <w:rPr>
          <w:rFonts w:ascii="Times New Roman" w:hAnsi="Times New Roman" w:cs="Times New Roman"/>
          <w:sz w:val="28"/>
          <w:szCs w:val="28"/>
        </w:rPr>
        <w:t>Є</w:t>
      </w:r>
      <w:r w:rsidRPr="000E1174">
        <w:rPr>
          <w:rFonts w:ascii="Times New Roman" w:hAnsi="Times New Roman" w:cs="Times New Roman"/>
          <w:sz w:val="28"/>
          <w:szCs w:val="28"/>
        </w:rPr>
        <w:t>вропейський журнал передов</w:t>
      </w:r>
      <w:r>
        <w:rPr>
          <w:rFonts w:ascii="Times New Roman" w:hAnsi="Times New Roman" w:cs="Times New Roman"/>
          <w:sz w:val="28"/>
          <w:szCs w:val="28"/>
        </w:rPr>
        <w:t>и</w:t>
      </w:r>
      <w:r w:rsidRPr="000E1174">
        <w:rPr>
          <w:rFonts w:ascii="Times New Roman" w:hAnsi="Times New Roman" w:cs="Times New Roman"/>
          <w:sz w:val="28"/>
          <w:szCs w:val="28"/>
        </w:rPr>
        <w:t>х технолог</w:t>
      </w:r>
      <w:r>
        <w:rPr>
          <w:rFonts w:ascii="Times New Roman" w:hAnsi="Times New Roman" w:cs="Times New Roman"/>
          <w:sz w:val="28"/>
          <w:szCs w:val="28"/>
        </w:rPr>
        <w:t>і</w:t>
      </w:r>
      <w:r w:rsidRPr="000E1174">
        <w:rPr>
          <w:rFonts w:ascii="Times New Roman" w:hAnsi="Times New Roman" w:cs="Times New Roman"/>
          <w:sz w:val="28"/>
          <w:szCs w:val="28"/>
        </w:rPr>
        <w:t>й. 2014. № 6/1 (72). С. 73–78. DOI: 10.15587/1729-4061.2014.30918.</w:t>
      </w:r>
    </w:p>
    <w:p w14:paraId="3BA1ED97" w14:textId="77777777"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0E1174">
        <w:rPr>
          <w:rFonts w:ascii="Times New Roman" w:hAnsi="Times New Roman" w:cs="Times New Roman"/>
          <w:sz w:val="28"/>
          <w:szCs w:val="28"/>
        </w:rPr>
        <w:t xml:space="preserve">Кобець А. С., Науменко М. М., Пономаренко Н. О. Обґрунтування конструктивних параметрів робочого </w:t>
      </w:r>
      <w:proofErr w:type="spellStart"/>
      <w:r w:rsidRPr="000E1174">
        <w:rPr>
          <w:rFonts w:ascii="Times New Roman" w:hAnsi="Times New Roman" w:cs="Times New Roman"/>
          <w:sz w:val="28"/>
          <w:szCs w:val="28"/>
        </w:rPr>
        <w:t>органа</w:t>
      </w:r>
      <w:proofErr w:type="spellEnd"/>
      <w:r w:rsidRPr="000E1174">
        <w:rPr>
          <w:rFonts w:ascii="Times New Roman" w:hAnsi="Times New Roman" w:cs="Times New Roman"/>
          <w:sz w:val="28"/>
          <w:szCs w:val="28"/>
        </w:rPr>
        <w:t xml:space="preserve"> розкидача мінеральних добрив. Конструювання, виробництво та експлуатація сільськогосподарських машин. 2015. </w:t>
      </w:r>
      <w:proofErr w:type="spellStart"/>
      <w:r w:rsidRPr="000E1174">
        <w:rPr>
          <w:rFonts w:ascii="Times New Roman" w:hAnsi="Times New Roman" w:cs="Times New Roman"/>
          <w:sz w:val="28"/>
          <w:szCs w:val="28"/>
        </w:rPr>
        <w:t>Вип</w:t>
      </w:r>
      <w:proofErr w:type="spellEnd"/>
      <w:r w:rsidRPr="000E1174">
        <w:rPr>
          <w:rFonts w:ascii="Times New Roman" w:hAnsi="Times New Roman" w:cs="Times New Roman"/>
          <w:sz w:val="28"/>
          <w:szCs w:val="28"/>
        </w:rPr>
        <w:t>. 45, ч. 1. С. 42–47.</w:t>
      </w:r>
    </w:p>
    <w:p w14:paraId="6B0F532C" w14:textId="77777777"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0E1174">
        <w:rPr>
          <w:rFonts w:ascii="Times New Roman" w:hAnsi="Times New Roman" w:cs="Times New Roman"/>
          <w:sz w:val="28"/>
          <w:szCs w:val="28"/>
        </w:rPr>
        <w:t>Ponomarenko</w:t>
      </w:r>
      <w:proofErr w:type="spellEnd"/>
      <w:r w:rsidRPr="000E1174">
        <w:rPr>
          <w:rFonts w:ascii="Times New Roman" w:hAnsi="Times New Roman" w:cs="Times New Roman"/>
          <w:sz w:val="28"/>
          <w:szCs w:val="28"/>
        </w:rPr>
        <w:t xml:space="preserve"> N., </w:t>
      </w:r>
      <w:proofErr w:type="spellStart"/>
      <w:r w:rsidRPr="000E1174">
        <w:rPr>
          <w:rFonts w:ascii="Times New Roman" w:hAnsi="Times New Roman" w:cs="Times New Roman"/>
          <w:sz w:val="28"/>
          <w:szCs w:val="28"/>
        </w:rPr>
        <w:t>Kobets</w:t>
      </w:r>
      <w:proofErr w:type="spellEnd"/>
      <w:r w:rsidRPr="000E1174">
        <w:rPr>
          <w:rFonts w:ascii="Times New Roman" w:hAnsi="Times New Roman" w:cs="Times New Roman"/>
          <w:sz w:val="28"/>
          <w:szCs w:val="28"/>
        </w:rPr>
        <w:t xml:space="preserve"> A., </w:t>
      </w:r>
      <w:proofErr w:type="spellStart"/>
      <w:r w:rsidRPr="000E1174">
        <w:rPr>
          <w:rFonts w:ascii="Times New Roman" w:hAnsi="Times New Roman" w:cs="Times New Roman"/>
          <w:sz w:val="28"/>
          <w:szCs w:val="28"/>
        </w:rPr>
        <w:t>Haritonov</w:t>
      </w:r>
      <w:proofErr w:type="spellEnd"/>
      <w:r w:rsidRPr="000E1174">
        <w:rPr>
          <w:rFonts w:ascii="Times New Roman" w:hAnsi="Times New Roman" w:cs="Times New Roman"/>
          <w:sz w:val="28"/>
          <w:szCs w:val="28"/>
        </w:rPr>
        <w:t xml:space="preserve"> N. </w:t>
      </w:r>
      <w:proofErr w:type="spellStart"/>
      <w:r w:rsidRPr="000E1174">
        <w:rPr>
          <w:rFonts w:ascii="Times New Roman" w:hAnsi="Times New Roman" w:cs="Times New Roman"/>
          <w:sz w:val="28"/>
          <w:szCs w:val="28"/>
        </w:rPr>
        <w:t>Construction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centrifugal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working</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device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for</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mineral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fertilizers</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spreading</w:t>
      </w:r>
      <w:proofErr w:type="spellEnd"/>
      <w:r w:rsidRPr="000E1174">
        <w:rPr>
          <w:rFonts w:ascii="Times New Roman" w:hAnsi="Times New Roman" w:cs="Times New Roman"/>
          <w:sz w:val="28"/>
          <w:szCs w:val="28"/>
        </w:rPr>
        <w:t xml:space="preserve">. INMATEH – </w:t>
      </w:r>
      <w:proofErr w:type="spellStart"/>
      <w:r w:rsidRPr="000E1174">
        <w:rPr>
          <w:rFonts w:ascii="Times New Roman" w:hAnsi="Times New Roman" w:cs="Times New Roman"/>
          <w:sz w:val="28"/>
          <w:szCs w:val="28"/>
        </w:rPr>
        <w:t>Agricultural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Engineering</w:t>
      </w:r>
      <w:proofErr w:type="spellEnd"/>
      <w:r w:rsidRPr="000E1174">
        <w:rPr>
          <w:rFonts w:ascii="Times New Roman" w:hAnsi="Times New Roman" w:cs="Times New Roman"/>
          <w:sz w:val="28"/>
          <w:szCs w:val="28"/>
        </w:rPr>
        <w:t xml:space="preserve">. 2017. </w:t>
      </w:r>
      <w:proofErr w:type="spellStart"/>
      <w:r w:rsidRPr="000E1174">
        <w:rPr>
          <w:rFonts w:ascii="Times New Roman" w:hAnsi="Times New Roman" w:cs="Times New Roman"/>
          <w:sz w:val="28"/>
          <w:szCs w:val="28"/>
        </w:rPr>
        <w:t>Vol</w:t>
      </w:r>
      <w:proofErr w:type="spellEnd"/>
      <w:r w:rsidRPr="000E1174">
        <w:rPr>
          <w:rFonts w:ascii="Times New Roman" w:hAnsi="Times New Roman" w:cs="Times New Roman"/>
          <w:sz w:val="28"/>
          <w:szCs w:val="28"/>
        </w:rPr>
        <w:t xml:space="preserve">. 51, </w:t>
      </w:r>
      <w:proofErr w:type="spellStart"/>
      <w:r w:rsidRPr="000E1174">
        <w:rPr>
          <w:rFonts w:ascii="Times New Roman" w:hAnsi="Times New Roman" w:cs="Times New Roman"/>
          <w:sz w:val="28"/>
          <w:szCs w:val="28"/>
        </w:rPr>
        <w:t>No</w:t>
      </w:r>
      <w:proofErr w:type="spellEnd"/>
      <w:r w:rsidRPr="000E1174">
        <w:rPr>
          <w:rFonts w:ascii="Times New Roman" w:hAnsi="Times New Roman" w:cs="Times New Roman"/>
          <w:sz w:val="28"/>
          <w:szCs w:val="28"/>
        </w:rPr>
        <w:t>. 1. P. 5–15.</w:t>
      </w:r>
    </w:p>
    <w:p w14:paraId="2317A888" w14:textId="77777777"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0E1174">
        <w:rPr>
          <w:rFonts w:ascii="Times New Roman" w:hAnsi="Times New Roman" w:cs="Times New Roman"/>
          <w:sz w:val="28"/>
          <w:szCs w:val="28"/>
        </w:rPr>
        <w:t>Shi</w:t>
      </w:r>
      <w:proofErr w:type="spellEnd"/>
      <w:r w:rsidRPr="000E1174">
        <w:rPr>
          <w:rFonts w:ascii="Times New Roman" w:hAnsi="Times New Roman" w:cs="Times New Roman"/>
          <w:sz w:val="28"/>
          <w:szCs w:val="28"/>
        </w:rPr>
        <w:t xml:space="preserve"> Y., </w:t>
      </w:r>
      <w:proofErr w:type="spellStart"/>
      <w:r w:rsidRPr="000E1174">
        <w:rPr>
          <w:rFonts w:ascii="Times New Roman" w:hAnsi="Times New Roman" w:cs="Times New Roman"/>
          <w:sz w:val="28"/>
          <w:szCs w:val="28"/>
        </w:rPr>
        <w:t>Chen</w:t>
      </w:r>
      <w:proofErr w:type="spellEnd"/>
      <w:r w:rsidRPr="000E1174">
        <w:rPr>
          <w:rFonts w:ascii="Times New Roman" w:hAnsi="Times New Roman" w:cs="Times New Roman"/>
          <w:sz w:val="28"/>
          <w:szCs w:val="28"/>
        </w:rPr>
        <w:t xml:space="preserve"> M., </w:t>
      </w:r>
      <w:proofErr w:type="spellStart"/>
      <w:r w:rsidRPr="000E1174">
        <w:rPr>
          <w:rFonts w:ascii="Times New Roman" w:hAnsi="Times New Roman" w:cs="Times New Roman"/>
          <w:sz w:val="28"/>
          <w:szCs w:val="28"/>
        </w:rPr>
        <w:t>Wang</w:t>
      </w:r>
      <w:proofErr w:type="spellEnd"/>
      <w:r w:rsidRPr="000E1174">
        <w:rPr>
          <w:rFonts w:ascii="Times New Roman" w:hAnsi="Times New Roman" w:cs="Times New Roman"/>
          <w:sz w:val="28"/>
          <w:szCs w:val="28"/>
        </w:rPr>
        <w:t xml:space="preserve"> X., </w:t>
      </w:r>
      <w:proofErr w:type="spellStart"/>
      <w:r w:rsidRPr="000E1174">
        <w:rPr>
          <w:rFonts w:ascii="Times New Roman" w:hAnsi="Times New Roman" w:cs="Times New Roman"/>
          <w:sz w:val="28"/>
          <w:szCs w:val="28"/>
        </w:rPr>
        <w:t>Odhiambo</w:t>
      </w:r>
      <w:proofErr w:type="spellEnd"/>
      <w:r w:rsidRPr="000E1174">
        <w:rPr>
          <w:rFonts w:ascii="Times New Roman" w:hAnsi="Times New Roman" w:cs="Times New Roman"/>
          <w:sz w:val="28"/>
          <w:szCs w:val="28"/>
        </w:rPr>
        <w:t xml:space="preserve"> M. O., </w:t>
      </w:r>
      <w:proofErr w:type="spellStart"/>
      <w:r w:rsidRPr="000E1174">
        <w:rPr>
          <w:rFonts w:ascii="Times New Roman" w:hAnsi="Times New Roman" w:cs="Times New Roman"/>
          <w:sz w:val="28"/>
          <w:szCs w:val="28"/>
        </w:rPr>
        <w:t>Ding</w:t>
      </w:r>
      <w:proofErr w:type="spellEnd"/>
      <w:r w:rsidRPr="000E1174">
        <w:rPr>
          <w:rFonts w:ascii="Times New Roman" w:hAnsi="Times New Roman" w:cs="Times New Roman"/>
          <w:sz w:val="28"/>
          <w:szCs w:val="28"/>
        </w:rPr>
        <w:t xml:space="preserve"> W. </w:t>
      </w:r>
      <w:proofErr w:type="spellStart"/>
      <w:r w:rsidRPr="000E1174">
        <w:rPr>
          <w:rFonts w:ascii="Times New Roman" w:hAnsi="Times New Roman" w:cs="Times New Roman"/>
          <w:sz w:val="28"/>
          <w:szCs w:val="28"/>
        </w:rPr>
        <w:t>Numerical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simulation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spreading</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performance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and</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distribution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pattern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centrifugal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variable-rate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fertilizer</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applicator</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based</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on</w:t>
      </w:r>
      <w:proofErr w:type="spellEnd"/>
      <w:r w:rsidRPr="000E1174">
        <w:rPr>
          <w:rFonts w:ascii="Times New Roman" w:hAnsi="Times New Roman" w:cs="Times New Roman"/>
          <w:sz w:val="28"/>
          <w:szCs w:val="28"/>
        </w:rPr>
        <w:t xml:space="preserve"> DEM </w:t>
      </w:r>
      <w:proofErr w:type="spellStart"/>
      <w:r w:rsidRPr="000E1174">
        <w:rPr>
          <w:rFonts w:ascii="Times New Roman" w:hAnsi="Times New Roman" w:cs="Times New Roman"/>
          <w:sz w:val="28"/>
          <w:szCs w:val="28"/>
        </w:rPr>
        <w:t>software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Computers</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and</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Electronics</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in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Agriculture</w:t>
      </w:r>
      <w:proofErr w:type="spellEnd"/>
      <w:r w:rsidRPr="000E1174">
        <w:rPr>
          <w:rFonts w:ascii="Times New Roman" w:hAnsi="Times New Roman" w:cs="Times New Roman"/>
          <w:sz w:val="28"/>
          <w:szCs w:val="28"/>
        </w:rPr>
        <w:t xml:space="preserve">. 2018. </w:t>
      </w:r>
      <w:proofErr w:type="spellStart"/>
      <w:r w:rsidRPr="000E1174">
        <w:rPr>
          <w:rFonts w:ascii="Times New Roman" w:hAnsi="Times New Roman" w:cs="Times New Roman"/>
          <w:sz w:val="28"/>
          <w:szCs w:val="28"/>
        </w:rPr>
        <w:t>Vol</w:t>
      </w:r>
      <w:proofErr w:type="spellEnd"/>
      <w:r w:rsidRPr="000E1174">
        <w:rPr>
          <w:rFonts w:ascii="Times New Roman" w:hAnsi="Times New Roman" w:cs="Times New Roman"/>
          <w:sz w:val="28"/>
          <w:szCs w:val="28"/>
        </w:rPr>
        <w:t>. 144. P. 249–259. DOI: 10.1016/j.compag.2017.12.015.</w:t>
      </w:r>
    </w:p>
    <w:p w14:paraId="407A4596" w14:textId="77777777"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0E1174">
        <w:rPr>
          <w:rFonts w:ascii="Times New Roman" w:hAnsi="Times New Roman" w:cs="Times New Roman"/>
          <w:sz w:val="28"/>
          <w:szCs w:val="28"/>
        </w:rPr>
        <w:t>Shvarts</w:t>
      </w:r>
      <w:proofErr w:type="spellEnd"/>
      <w:r w:rsidRPr="000E1174">
        <w:rPr>
          <w:rFonts w:ascii="Times New Roman" w:hAnsi="Times New Roman" w:cs="Times New Roman"/>
          <w:sz w:val="28"/>
          <w:szCs w:val="28"/>
        </w:rPr>
        <w:t xml:space="preserve"> A. A., </w:t>
      </w:r>
      <w:proofErr w:type="spellStart"/>
      <w:r w:rsidRPr="000E1174">
        <w:rPr>
          <w:rFonts w:ascii="Times New Roman" w:hAnsi="Times New Roman" w:cs="Times New Roman"/>
          <w:sz w:val="28"/>
          <w:szCs w:val="28"/>
        </w:rPr>
        <w:t>Korotkov</w:t>
      </w:r>
      <w:proofErr w:type="spellEnd"/>
      <w:r w:rsidRPr="000E1174">
        <w:rPr>
          <w:rFonts w:ascii="Times New Roman" w:hAnsi="Times New Roman" w:cs="Times New Roman"/>
          <w:sz w:val="28"/>
          <w:szCs w:val="28"/>
        </w:rPr>
        <w:t xml:space="preserve"> I. V. </w:t>
      </w:r>
      <w:proofErr w:type="spellStart"/>
      <w:r w:rsidRPr="000E1174">
        <w:rPr>
          <w:rFonts w:ascii="Times New Roman" w:hAnsi="Times New Roman" w:cs="Times New Roman"/>
          <w:sz w:val="28"/>
          <w:szCs w:val="28"/>
        </w:rPr>
        <w:t>Justification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the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design</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parameters</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the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blade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the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rotary</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working</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body</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of</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the</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solid</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fertilizer</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spreader</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Tractors</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and</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Agricultural</w:t>
      </w:r>
      <w:proofErr w:type="spellEnd"/>
      <w:r w:rsidRPr="000E1174">
        <w:rPr>
          <w:rFonts w:ascii="Times New Roman" w:hAnsi="Times New Roman" w:cs="Times New Roman"/>
          <w:sz w:val="28"/>
          <w:szCs w:val="28"/>
        </w:rPr>
        <w:t xml:space="preserve"> </w:t>
      </w:r>
      <w:proofErr w:type="spellStart"/>
      <w:r w:rsidRPr="000E1174">
        <w:rPr>
          <w:rFonts w:ascii="Times New Roman" w:hAnsi="Times New Roman" w:cs="Times New Roman"/>
          <w:sz w:val="28"/>
          <w:szCs w:val="28"/>
        </w:rPr>
        <w:t>Machinery</w:t>
      </w:r>
      <w:proofErr w:type="spellEnd"/>
      <w:r w:rsidRPr="000E1174">
        <w:rPr>
          <w:rFonts w:ascii="Times New Roman" w:hAnsi="Times New Roman" w:cs="Times New Roman"/>
          <w:sz w:val="28"/>
          <w:szCs w:val="28"/>
        </w:rPr>
        <w:t xml:space="preserve">. 2022. </w:t>
      </w:r>
      <w:proofErr w:type="spellStart"/>
      <w:r w:rsidRPr="000E1174">
        <w:rPr>
          <w:rFonts w:ascii="Times New Roman" w:hAnsi="Times New Roman" w:cs="Times New Roman"/>
          <w:sz w:val="28"/>
          <w:szCs w:val="28"/>
        </w:rPr>
        <w:t>Vol</w:t>
      </w:r>
      <w:proofErr w:type="spellEnd"/>
      <w:r w:rsidRPr="000E1174">
        <w:rPr>
          <w:rFonts w:ascii="Times New Roman" w:hAnsi="Times New Roman" w:cs="Times New Roman"/>
          <w:sz w:val="28"/>
          <w:szCs w:val="28"/>
        </w:rPr>
        <w:t xml:space="preserve">. 89, </w:t>
      </w:r>
      <w:proofErr w:type="spellStart"/>
      <w:r w:rsidRPr="000E1174">
        <w:rPr>
          <w:rFonts w:ascii="Times New Roman" w:hAnsi="Times New Roman" w:cs="Times New Roman"/>
          <w:sz w:val="28"/>
          <w:szCs w:val="28"/>
        </w:rPr>
        <w:t>No</w:t>
      </w:r>
      <w:proofErr w:type="spellEnd"/>
      <w:r w:rsidRPr="000E1174">
        <w:rPr>
          <w:rFonts w:ascii="Times New Roman" w:hAnsi="Times New Roman" w:cs="Times New Roman"/>
          <w:sz w:val="28"/>
          <w:szCs w:val="28"/>
        </w:rPr>
        <w:t>. 2. P. 133–140. DOI: 10.17816/0321-4443-105128.</w:t>
      </w:r>
    </w:p>
    <w:p w14:paraId="0E3F88C6" w14:textId="1538A0FA" w:rsidR="000E1174" w:rsidRPr="000E1174" w:rsidRDefault="000E1174" w:rsidP="00B81C84">
      <w:pPr>
        <w:pStyle w:val="a9"/>
        <w:numPr>
          <w:ilvl w:val="0"/>
          <w:numId w:val="1"/>
        </w:numPr>
        <w:spacing w:after="0" w:line="276" w:lineRule="auto"/>
        <w:ind w:left="0" w:firstLine="709"/>
        <w:contextualSpacing w:val="0"/>
        <w:jc w:val="both"/>
        <w:rPr>
          <w:rFonts w:ascii="Times New Roman" w:hAnsi="Times New Roman" w:cs="Times New Roman"/>
          <w:sz w:val="28"/>
          <w:szCs w:val="28"/>
        </w:rPr>
      </w:pPr>
      <w:r w:rsidRPr="000E1174">
        <w:rPr>
          <w:rFonts w:ascii="Times New Roman" w:hAnsi="Times New Roman" w:cs="Times New Roman"/>
          <w:sz w:val="28"/>
          <w:szCs w:val="28"/>
        </w:rPr>
        <w:t xml:space="preserve">Пономаренко Н. О., </w:t>
      </w:r>
      <w:proofErr w:type="spellStart"/>
      <w:r w:rsidRPr="000E1174">
        <w:rPr>
          <w:rFonts w:ascii="Times New Roman" w:hAnsi="Times New Roman" w:cs="Times New Roman"/>
          <w:sz w:val="28"/>
          <w:szCs w:val="28"/>
        </w:rPr>
        <w:t>Теслюк</w:t>
      </w:r>
      <w:proofErr w:type="spellEnd"/>
      <w:r w:rsidRPr="000E1174">
        <w:rPr>
          <w:rFonts w:ascii="Times New Roman" w:hAnsi="Times New Roman" w:cs="Times New Roman"/>
          <w:sz w:val="28"/>
          <w:szCs w:val="28"/>
        </w:rPr>
        <w:t xml:space="preserve"> Г. В., Кобець О. М., </w:t>
      </w:r>
      <w:proofErr w:type="spellStart"/>
      <w:r w:rsidRPr="000E1174">
        <w:rPr>
          <w:rFonts w:ascii="Times New Roman" w:hAnsi="Times New Roman" w:cs="Times New Roman"/>
          <w:sz w:val="28"/>
          <w:szCs w:val="28"/>
        </w:rPr>
        <w:t>Лепеть</w:t>
      </w:r>
      <w:proofErr w:type="spellEnd"/>
      <w:r w:rsidRPr="000E1174">
        <w:rPr>
          <w:rFonts w:ascii="Times New Roman" w:hAnsi="Times New Roman" w:cs="Times New Roman"/>
          <w:sz w:val="28"/>
          <w:szCs w:val="28"/>
        </w:rPr>
        <w:t xml:space="preserve"> Є. І., </w:t>
      </w:r>
      <w:proofErr w:type="spellStart"/>
      <w:r w:rsidRPr="000E1174">
        <w:rPr>
          <w:rFonts w:ascii="Times New Roman" w:hAnsi="Times New Roman" w:cs="Times New Roman"/>
          <w:sz w:val="28"/>
          <w:szCs w:val="28"/>
        </w:rPr>
        <w:t>Часов</w:t>
      </w:r>
      <w:proofErr w:type="spellEnd"/>
      <w:r w:rsidRPr="000E1174">
        <w:rPr>
          <w:rFonts w:ascii="Times New Roman" w:hAnsi="Times New Roman" w:cs="Times New Roman"/>
          <w:sz w:val="28"/>
          <w:szCs w:val="28"/>
        </w:rPr>
        <w:t xml:space="preserve"> Д. П., </w:t>
      </w:r>
      <w:proofErr w:type="spellStart"/>
      <w:r w:rsidRPr="000E1174">
        <w:rPr>
          <w:rFonts w:ascii="Times New Roman" w:hAnsi="Times New Roman" w:cs="Times New Roman"/>
          <w:sz w:val="28"/>
          <w:szCs w:val="28"/>
        </w:rPr>
        <w:t>Бейгул</w:t>
      </w:r>
      <w:proofErr w:type="spellEnd"/>
      <w:r w:rsidRPr="000E1174">
        <w:rPr>
          <w:rFonts w:ascii="Times New Roman" w:hAnsi="Times New Roman" w:cs="Times New Roman"/>
          <w:sz w:val="28"/>
          <w:szCs w:val="28"/>
        </w:rPr>
        <w:t xml:space="preserve"> В. О. Удосконалений відцентровий диск з подвійною подачею </w:t>
      </w:r>
      <w:r w:rsidRPr="000E1174">
        <w:rPr>
          <w:rFonts w:ascii="Times New Roman" w:hAnsi="Times New Roman" w:cs="Times New Roman"/>
          <w:sz w:val="28"/>
          <w:szCs w:val="28"/>
        </w:rPr>
        <w:lastRenderedPageBreak/>
        <w:t>добрив. Збірник наукових праць Дніпровського державного технічного університету (технічні науки). 2024. Т. 1, № 44. С. 91–98. DOI: 10.31319/2519-2884.44.2024.11.</w:t>
      </w:r>
    </w:p>
    <w:sectPr w:rsidR="000E1174" w:rsidRPr="000E1174" w:rsidSect="000E117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FF4D62"/>
    <w:multiLevelType w:val="hybridMultilevel"/>
    <w:tmpl w:val="BBF67B2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291667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F7"/>
    <w:rsid w:val="000E1174"/>
    <w:rsid w:val="00414AE7"/>
    <w:rsid w:val="0042298E"/>
    <w:rsid w:val="00595CB8"/>
    <w:rsid w:val="005960F7"/>
    <w:rsid w:val="00B81C84"/>
    <w:rsid w:val="00E63A0C"/>
    <w:rsid w:val="00FB2A2F"/>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09966"/>
  <w15:chartTrackingRefBased/>
  <w15:docId w15:val="{484B5F22-BE7B-484E-9D71-1ABD5C2A1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5960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960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960F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960F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960F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960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960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960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960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60F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960F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960F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960F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960F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960F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960F7"/>
    <w:rPr>
      <w:rFonts w:eastAsiaTheme="majorEastAsia" w:cstheme="majorBidi"/>
      <w:color w:val="595959" w:themeColor="text1" w:themeTint="A6"/>
    </w:rPr>
  </w:style>
  <w:style w:type="character" w:customStyle="1" w:styleId="80">
    <w:name w:val="Заголовок 8 Знак"/>
    <w:basedOn w:val="a0"/>
    <w:link w:val="8"/>
    <w:uiPriority w:val="9"/>
    <w:semiHidden/>
    <w:rsid w:val="005960F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960F7"/>
    <w:rPr>
      <w:rFonts w:eastAsiaTheme="majorEastAsia" w:cstheme="majorBidi"/>
      <w:color w:val="272727" w:themeColor="text1" w:themeTint="D8"/>
    </w:rPr>
  </w:style>
  <w:style w:type="paragraph" w:styleId="a3">
    <w:name w:val="Title"/>
    <w:basedOn w:val="a"/>
    <w:next w:val="a"/>
    <w:link w:val="a4"/>
    <w:uiPriority w:val="10"/>
    <w:qFormat/>
    <w:rsid w:val="005960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5960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60F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5960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960F7"/>
    <w:pPr>
      <w:spacing w:before="160"/>
      <w:jc w:val="center"/>
    </w:pPr>
    <w:rPr>
      <w:i/>
      <w:iCs/>
      <w:color w:val="404040" w:themeColor="text1" w:themeTint="BF"/>
    </w:rPr>
  </w:style>
  <w:style w:type="character" w:customStyle="1" w:styleId="a8">
    <w:name w:val="Цитата Знак"/>
    <w:basedOn w:val="a0"/>
    <w:link w:val="a7"/>
    <w:uiPriority w:val="29"/>
    <w:rsid w:val="005960F7"/>
    <w:rPr>
      <w:i/>
      <w:iCs/>
      <w:color w:val="404040" w:themeColor="text1" w:themeTint="BF"/>
    </w:rPr>
  </w:style>
  <w:style w:type="paragraph" w:styleId="a9">
    <w:name w:val="List Paragraph"/>
    <w:basedOn w:val="a"/>
    <w:uiPriority w:val="34"/>
    <w:qFormat/>
    <w:rsid w:val="005960F7"/>
    <w:pPr>
      <w:ind w:left="720"/>
      <w:contextualSpacing/>
    </w:pPr>
  </w:style>
  <w:style w:type="character" w:styleId="aa">
    <w:name w:val="Intense Emphasis"/>
    <w:basedOn w:val="a0"/>
    <w:uiPriority w:val="21"/>
    <w:qFormat/>
    <w:rsid w:val="005960F7"/>
    <w:rPr>
      <w:i/>
      <w:iCs/>
      <w:color w:val="0F4761" w:themeColor="accent1" w:themeShade="BF"/>
    </w:rPr>
  </w:style>
  <w:style w:type="paragraph" w:styleId="ab">
    <w:name w:val="Intense Quote"/>
    <w:basedOn w:val="a"/>
    <w:next w:val="a"/>
    <w:link w:val="ac"/>
    <w:uiPriority w:val="30"/>
    <w:qFormat/>
    <w:rsid w:val="005960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5960F7"/>
    <w:rPr>
      <w:i/>
      <w:iCs/>
      <w:color w:val="0F4761" w:themeColor="accent1" w:themeShade="BF"/>
    </w:rPr>
  </w:style>
  <w:style w:type="character" w:styleId="ad">
    <w:name w:val="Intense Reference"/>
    <w:basedOn w:val="a0"/>
    <w:uiPriority w:val="32"/>
    <w:qFormat/>
    <w:rsid w:val="005960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4696</Words>
  <Characters>2678</Characters>
  <Application>Microsoft Office Word</Application>
  <DocSecurity>0</DocSecurity>
  <Lines>22</Lines>
  <Paragraphs>14</Paragraphs>
  <ScaleCrop>false</ScaleCrop>
  <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2026-10-05T15:12:00Z</dcterms:created>
  <dcterms:modified xsi:type="dcterms:W3CDTF">2026-10-05T15:12:00Z</dcterms:modified>
</cp:coreProperties>
</file>