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3E3D3" w14:textId="28601BD8" w:rsidR="00033581" w:rsidRPr="000E1174" w:rsidRDefault="00033581" w:rsidP="00A224FF">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6358CC" w:rsidRPr="006358CC">
        <w:rPr>
          <w:rFonts w:ascii="Times New Roman" w:hAnsi="Times New Roman" w:cs="Times New Roman"/>
          <w:sz w:val="28"/>
          <w:szCs w:val="28"/>
        </w:rPr>
        <w:t>621.891:631.3:636</w:t>
      </w:r>
    </w:p>
    <w:p w14:paraId="73581939" w14:textId="77777777" w:rsidR="00033581" w:rsidRPr="000E1174" w:rsidRDefault="00033581" w:rsidP="00A224FF">
      <w:pPr>
        <w:spacing w:after="0" w:line="276" w:lineRule="auto"/>
        <w:rPr>
          <w:rFonts w:ascii="Times New Roman" w:hAnsi="Times New Roman" w:cs="Times New Roman"/>
          <w:sz w:val="28"/>
          <w:szCs w:val="28"/>
        </w:rPr>
      </w:pPr>
    </w:p>
    <w:p w14:paraId="65E601FA" w14:textId="06EA7BEE" w:rsidR="00033581" w:rsidRDefault="006358CC" w:rsidP="00A224FF">
      <w:pPr>
        <w:spacing w:after="0" w:line="276" w:lineRule="auto"/>
        <w:jc w:val="center"/>
        <w:rPr>
          <w:rFonts w:ascii="Times New Roman" w:hAnsi="Times New Roman" w:cs="Times New Roman"/>
          <w:b/>
          <w:bCs/>
          <w:sz w:val="28"/>
          <w:szCs w:val="28"/>
        </w:rPr>
      </w:pPr>
      <w:r w:rsidRPr="006358CC">
        <w:rPr>
          <w:rFonts w:ascii="Times New Roman" w:hAnsi="Times New Roman" w:cs="Times New Roman"/>
          <w:b/>
          <w:bCs/>
          <w:sz w:val="28"/>
          <w:szCs w:val="28"/>
        </w:rPr>
        <w:t>ДОВГОВІЧНІСТЬ ТРИБОСПРЯЖЕНЬ ЯК ЧИННИК ПІДВИЩЕННЯ ЕФЕКТИВНОСТІ МАШИННО-ТЕХНОЛОГІЧНИХ СИСТЕМ У ТВАРИННИЦТВІ</w:t>
      </w:r>
    </w:p>
    <w:p w14:paraId="43E6B9DF" w14:textId="24141A23" w:rsidR="00033581" w:rsidRDefault="00033581" w:rsidP="00A224FF">
      <w:pPr>
        <w:spacing w:after="0" w:line="276" w:lineRule="auto"/>
        <w:jc w:val="center"/>
        <w:rPr>
          <w:rFonts w:ascii="Times New Roman" w:hAnsi="Times New Roman" w:cs="Times New Roman"/>
          <w:sz w:val="28"/>
          <w:szCs w:val="28"/>
        </w:rPr>
      </w:pPr>
      <w:r w:rsidRPr="000E1174">
        <w:rPr>
          <w:rFonts w:ascii="Times New Roman" w:hAnsi="Times New Roman" w:cs="Times New Roman"/>
          <w:b/>
          <w:bCs/>
          <w:sz w:val="28"/>
          <w:szCs w:val="28"/>
        </w:rPr>
        <w:t>Савченко В.М.</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r w:rsidR="006358CC">
        <w:rPr>
          <w:rFonts w:ascii="Times New Roman" w:hAnsi="Times New Roman" w:cs="Times New Roman"/>
          <w:b/>
          <w:bCs/>
          <w:sz w:val="28"/>
          <w:szCs w:val="28"/>
        </w:rPr>
        <w:t>Антоненко Є.М.</w:t>
      </w:r>
      <w:r>
        <w:rPr>
          <w:rFonts w:ascii="Times New Roman" w:hAnsi="Times New Roman" w:cs="Times New Roman"/>
          <w:sz w:val="28"/>
          <w:szCs w:val="28"/>
        </w:rPr>
        <w:t xml:space="preserve"> здобувач освіти</w:t>
      </w:r>
    </w:p>
    <w:p w14:paraId="057588FD" w14:textId="77777777" w:rsidR="00033581" w:rsidRPr="00A8091B" w:rsidRDefault="00033581" w:rsidP="00A224FF">
      <w:pPr>
        <w:spacing w:after="0" w:line="276" w:lineRule="auto"/>
        <w:jc w:val="center"/>
        <w:rPr>
          <w:rFonts w:ascii="Times New Roman" w:hAnsi="Times New Roman" w:cs="Times New Roman"/>
          <w:i/>
          <w:iCs/>
          <w:sz w:val="28"/>
          <w:szCs w:val="28"/>
        </w:rPr>
      </w:pPr>
      <w:r w:rsidRPr="00A8091B">
        <w:rPr>
          <w:rFonts w:ascii="Times New Roman" w:hAnsi="Times New Roman" w:cs="Times New Roman"/>
          <w:i/>
          <w:iCs/>
          <w:sz w:val="28"/>
          <w:szCs w:val="28"/>
        </w:rPr>
        <w:t>Поліський національний університет, м. Житомир</w:t>
      </w:r>
    </w:p>
    <w:p w14:paraId="2F848F2D" w14:textId="77777777" w:rsidR="006358CC" w:rsidRDefault="006358CC" w:rsidP="00A224FF">
      <w:pPr>
        <w:spacing w:after="0" w:line="276" w:lineRule="auto"/>
        <w:jc w:val="center"/>
        <w:rPr>
          <w:rFonts w:ascii="Times New Roman" w:hAnsi="Times New Roman" w:cs="Times New Roman"/>
          <w:sz w:val="28"/>
          <w:szCs w:val="28"/>
        </w:rPr>
      </w:pPr>
    </w:p>
    <w:p w14:paraId="1D55908B"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Сучасне тваринництво характеризується високим рівнем механізації та автоматизації технологічних процесів. Приготування і роздавання кормів, видалення та транспортування гною, доїння, водопостачання, створення та підтримання мікроклімату, транспортування продукції та інші виробничі операції здійснюються з використанням складних машинно-технологічних систем. Ефективність їх функціонування значною мірою визначається технічною надійністю окремих машин, агрегатів і вузлів. При цьому значна частина відмов механічного обладнання безпосередньо або опосередковано пов’язана з процесами тертя та зношування деталей [1, 2].</w:t>
      </w:r>
    </w:p>
    <w:p w14:paraId="14BFD36F"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Особливе місце в забезпеченні працездатності машин займають </w:t>
      </w:r>
      <w:proofErr w:type="spellStart"/>
      <w:r w:rsidRPr="006358CC">
        <w:rPr>
          <w:rFonts w:ascii="Times New Roman" w:hAnsi="Times New Roman" w:cs="Times New Roman"/>
          <w:sz w:val="28"/>
          <w:szCs w:val="28"/>
        </w:rPr>
        <w:t>трибоспряження</w:t>
      </w:r>
      <w:proofErr w:type="spellEnd"/>
      <w:r w:rsidRPr="006358CC">
        <w:rPr>
          <w:rFonts w:ascii="Times New Roman" w:hAnsi="Times New Roman" w:cs="Times New Roman"/>
          <w:sz w:val="28"/>
          <w:szCs w:val="28"/>
        </w:rPr>
        <w:t xml:space="preserve"> – сукупності контактуючих деталей, поверхні яких взаємодіють у процесі відносного переміщення. До них належать підшипникові вузли, пари «вал–втулка», зубчасті та ланцюгові передачі, шарнірні з’єднання, напрямні, ущільнення та інші пари тертя. Їх технічний стан безпосередньо впливає на надійність, довговічність та енергетичну ефективність обладнання.</w:t>
      </w:r>
    </w:p>
    <w:p w14:paraId="25735A8B"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У машинно-технологічних системах тваринництва </w:t>
      </w:r>
      <w:proofErr w:type="spellStart"/>
      <w:r w:rsidRPr="006358CC">
        <w:rPr>
          <w:rFonts w:ascii="Times New Roman" w:hAnsi="Times New Roman" w:cs="Times New Roman"/>
          <w:sz w:val="28"/>
          <w:szCs w:val="28"/>
        </w:rPr>
        <w:t>трибоспряження</w:t>
      </w:r>
      <w:proofErr w:type="spellEnd"/>
      <w:r w:rsidRPr="006358CC">
        <w:rPr>
          <w:rFonts w:ascii="Times New Roman" w:hAnsi="Times New Roman" w:cs="Times New Roman"/>
          <w:sz w:val="28"/>
          <w:szCs w:val="28"/>
        </w:rPr>
        <w:t xml:space="preserve"> експлуатуються в складних умовах. Для них характерні змінні та ударні навантаження, забруднення абразивними частинками кормів і пилу, підвищена вологість, контакт з агресивними середовищами, періодичні температурні коливання та недостатність або забруднення мастильного матеріалу. Сукупність зазначених чинників призводить до інтенсифікації абразивного, </w:t>
      </w:r>
      <w:proofErr w:type="spellStart"/>
      <w:r w:rsidRPr="006358CC">
        <w:rPr>
          <w:rFonts w:ascii="Times New Roman" w:hAnsi="Times New Roman" w:cs="Times New Roman"/>
          <w:sz w:val="28"/>
          <w:szCs w:val="28"/>
        </w:rPr>
        <w:t>адгезійного</w:t>
      </w:r>
      <w:proofErr w:type="spellEnd"/>
      <w:r w:rsidRPr="006358CC">
        <w:rPr>
          <w:rFonts w:ascii="Times New Roman" w:hAnsi="Times New Roman" w:cs="Times New Roman"/>
          <w:sz w:val="28"/>
          <w:szCs w:val="28"/>
        </w:rPr>
        <w:t xml:space="preserve">, втомного та </w:t>
      </w:r>
      <w:proofErr w:type="spellStart"/>
      <w:r w:rsidRPr="006358CC">
        <w:rPr>
          <w:rFonts w:ascii="Times New Roman" w:hAnsi="Times New Roman" w:cs="Times New Roman"/>
          <w:sz w:val="28"/>
          <w:szCs w:val="28"/>
        </w:rPr>
        <w:t>корозійно</w:t>
      </w:r>
      <w:proofErr w:type="spellEnd"/>
      <w:r w:rsidRPr="006358CC">
        <w:rPr>
          <w:rFonts w:ascii="Times New Roman" w:hAnsi="Times New Roman" w:cs="Times New Roman"/>
          <w:sz w:val="28"/>
          <w:szCs w:val="28"/>
        </w:rPr>
        <w:t>-механічного зношування [1, 2].</w:t>
      </w:r>
    </w:p>
    <w:p w14:paraId="2B1CACB6"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Найбільш виражений вплив технічного стану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спостерігається у засобах для приготування і роздавання кормів. Змішувачі-кормороздавачі мають значну кількість підшипникових опор, редукторів, приводів, з’єднань валів та інших вузлів тертя. Дослідження експлуатаційної надійності </w:t>
      </w:r>
      <w:proofErr w:type="spellStart"/>
      <w:r w:rsidRPr="006358CC">
        <w:rPr>
          <w:rFonts w:ascii="Times New Roman" w:hAnsi="Times New Roman" w:cs="Times New Roman"/>
          <w:sz w:val="28"/>
          <w:szCs w:val="28"/>
        </w:rPr>
        <w:t>кормозмішувального</w:t>
      </w:r>
      <w:proofErr w:type="spellEnd"/>
      <w:r w:rsidRPr="006358CC">
        <w:rPr>
          <w:rFonts w:ascii="Times New Roman" w:hAnsi="Times New Roman" w:cs="Times New Roman"/>
          <w:sz w:val="28"/>
          <w:szCs w:val="28"/>
        </w:rPr>
        <w:t xml:space="preserve"> обладнання свідчать, що виникнення </w:t>
      </w:r>
      <w:proofErr w:type="spellStart"/>
      <w:r w:rsidRPr="006358CC">
        <w:rPr>
          <w:rFonts w:ascii="Times New Roman" w:hAnsi="Times New Roman" w:cs="Times New Roman"/>
          <w:sz w:val="28"/>
          <w:szCs w:val="28"/>
        </w:rPr>
        <w:t>несправностей</w:t>
      </w:r>
      <w:proofErr w:type="spellEnd"/>
      <w:r w:rsidRPr="006358CC">
        <w:rPr>
          <w:rFonts w:ascii="Times New Roman" w:hAnsi="Times New Roman" w:cs="Times New Roman"/>
          <w:sz w:val="28"/>
          <w:szCs w:val="28"/>
        </w:rPr>
        <w:t xml:space="preserve"> і відмов призводить до зниження його експлуатаційної надійності та потребує вдосконалення систем технічного обслуговування [3]. Зношування підшипників, валів, втулок або елементів приводу може спричиняти підвищення </w:t>
      </w:r>
      <w:r w:rsidRPr="006358CC">
        <w:rPr>
          <w:rFonts w:ascii="Times New Roman" w:hAnsi="Times New Roman" w:cs="Times New Roman"/>
          <w:sz w:val="28"/>
          <w:szCs w:val="28"/>
        </w:rPr>
        <w:lastRenderedPageBreak/>
        <w:t>вібрацій, порушення режимів роботи, збільшення енергоспоживання і в кінцевому підсумку – аварійну зупинку обладнання.</w:t>
      </w:r>
    </w:p>
    <w:p w14:paraId="4473A7F9"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Для тваринницьких підприємств наслідки таких відмов є особливо суттєвими, оскільки більшість технологічних операцій повинна виконуватися з чітко визначеною періодичністю. Несвоєчасне приготування або роздавання кормів, порушення роботи доїльного обладнання, систем водопостачання, вентиляції чи видалення гною негативно впливають не лише на продуктивність машин, але й на стабільність усього технологічного процесу.</w:t>
      </w:r>
    </w:p>
    <w:p w14:paraId="25E935D7"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Таким чином, довговічність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необхідно розглядати не тільки як показник технічного рівня окремої машини, а як один із чинників загальної виробничої ефективності тваринницького підприємства.</w:t>
      </w:r>
    </w:p>
    <w:p w14:paraId="56087731" w14:textId="19FF913E"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Вплив довговічності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на ефективність машинно-технологічної системи можна представити таким взаємозв’язком:</w:t>
      </w:r>
      <w:r>
        <w:rPr>
          <w:rFonts w:ascii="Times New Roman" w:hAnsi="Times New Roman" w:cs="Times New Roman"/>
          <w:sz w:val="28"/>
          <w:szCs w:val="28"/>
        </w:rPr>
        <w:t xml:space="preserve"> </w:t>
      </w:r>
      <w:r w:rsidRPr="006358CC">
        <w:rPr>
          <w:rFonts w:ascii="Times New Roman" w:hAnsi="Times New Roman" w:cs="Times New Roman"/>
          <w:sz w:val="28"/>
          <w:szCs w:val="28"/>
        </w:rPr>
        <w:t xml:space="preserve">підвищення зносостійкості → збільшення ресурсу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 зниження частоти відмов → скорочення простоїв → зменшення витрат на ремонт і запасні частини → підвищення коефіцієнта технічного використання машин → стабілізація технологічних процесів → підвищення ефективності тваринницького виробництва.</w:t>
      </w:r>
    </w:p>
    <w:p w14:paraId="07CE4F68"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Одним із основних негативних наслідків зношування є поступове збільшення зазорів у рухомих з’єднаннях. Це призводить до порушення точності взаємного розташування деталей, виникнення додаткових динамічних навантажень і вібрацій. У підшипникових вузлах та зубчастих передачах такі зміни можуть прискорювати подальше руйнування контактних поверхонь. Унаслідок цього процес зношування набуває </w:t>
      </w:r>
      <w:proofErr w:type="spellStart"/>
      <w:r w:rsidRPr="006358CC">
        <w:rPr>
          <w:rFonts w:ascii="Times New Roman" w:hAnsi="Times New Roman" w:cs="Times New Roman"/>
          <w:sz w:val="28"/>
          <w:szCs w:val="28"/>
        </w:rPr>
        <w:t>самоприскорювального</w:t>
      </w:r>
      <w:proofErr w:type="spellEnd"/>
      <w:r w:rsidRPr="006358CC">
        <w:rPr>
          <w:rFonts w:ascii="Times New Roman" w:hAnsi="Times New Roman" w:cs="Times New Roman"/>
          <w:sz w:val="28"/>
          <w:szCs w:val="28"/>
        </w:rPr>
        <w:t xml:space="preserve"> характеру: збільшення зносу погіршує умови контакту, а погіршення умов контакту, своєю чергою, збільшує інтенсивність зношування.</w:t>
      </w:r>
    </w:p>
    <w:p w14:paraId="0A73B6CA"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Важливим є також енергетичний аспект проблеми. Зростання коефіцієнта тертя внаслідок порушення режиму мащення, забруднення мастильного матеріалу або пошкодження поверхонь супроводжується збільшенням механічних втрат. Частина енергії приводу витрачається не на виконання корисної роботи, а на подолання додаткового опору тертю. У масштабах окремого вузла такі втрати можуть здаватися незначними, проте за великої кількості електроприводів, редукторів, підшипникових вузлів і транспортуючих механізмів вони впливають на загальне енергоспоживання підприємства. Дослідження впливу </w:t>
      </w:r>
      <w:proofErr w:type="spellStart"/>
      <w:r w:rsidRPr="006358CC">
        <w:rPr>
          <w:rFonts w:ascii="Times New Roman" w:hAnsi="Times New Roman" w:cs="Times New Roman"/>
          <w:sz w:val="28"/>
          <w:szCs w:val="28"/>
        </w:rPr>
        <w:t>трибологічних</w:t>
      </w:r>
      <w:proofErr w:type="spellEnd"/>
      <w:r w:rsidRPr="006358CC">
        <w:rPr>
          <w:rFonts w:ascii="Times New Roman" w:hAnsi="Times New Roman" w:cs="Times New Roman"/>
          <w:sz w:val="28"/>
          <w:szCs w:val="28"/>
        </w:rPr>
        <w:t xml:space="preserve"> процесів на технічні системи підтверджують вагоме значення тертя і зношування для енергетичних та економічних показників експлуатації машин [4].</w:t>
      </w:r>
    </w:p>
    <w:p w14:paraId="469E09EC"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Не менш важливим фактором є витрати на технічне обслуговування та ремонт. Зменшення ресурсу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спричиняє збільшення потреби у </w:t>
      </w:r>
      <w:r w:rsidRPr="006358CC">
        <w:rPr>
          <w:rFonts w:ascii="Times New Roman" w:hAnsi="Times New Roman" w:cs="Times New Roman"/>
          <w:sz w:val="28"/>
          <w:szCs w:val="28"/>
        </w:rPr>
        <w:lastRenderedPageBreak/>
        <w:t>запасних частинах, мастильних матеріалах, ремонтних роботах та залученні обслуговуючого персоналу. При цьому економічні втрати складаються не тільки з вартості деталей і ремонту, але й із втрат, пов’язаних із простоєм технологічного обладнання.</w:t>
      </w:r>
    </w:p>
    <w:p w14:paraId="7917EA3E"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Перспективним напрямом підвищення ефективності машинно-технологічних систем є застосування комплексного </w:t>
      </w:r>
      <w:proofErr w:type="spellStart"/>
      <w:r w:rsidRPr="006358CC">
        <w:rPr>
          <w:rFonts w:ascii="Times New Roman" w:hAnsi="Times New Roman" w:cs="Times New Roman"/>
          <w:sz w:val="28"/>
          <w:szCs w:val="28"/>
        </w:rPr>
        <w:t>трибологічного</w:t>
      </w:r>
      <w:proofErr w:type="spellEnd"/>
      <w:r w:rsidRPr="006358CC">
        <w:rPr>
          <w:rFonts w:ascii="Times New Roman" w:hAnsi="Times New Roman" w:cs="Times New Roman"/>
          <w:sz w:val="28"/>
          <w:szCs w:val="28"/>
        </w:rPr>
        <w:t xml:space="preserve"> підходу до забезпечення довговічності вузлів тертя. Він повинен передбачати раціональний вибір матеріалів контактуючих деталей, удосконалення геометрії та якості робочих поверхонь, застосування сучасних технологій поверхневого зміцнення, ефективних мастильних матеріалів і надійних систем ущільнення [5].</w:t>
      </w:r>
    </w:p>
    <w:p w14:paraId="1469FA70"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Важливу роль відіграє вибір мастильного матеріалу відповідно до реальних умов роботи вузла. Мастильне середовище повинно забезпечувати стабільне формування розділювальної плівки між поверхнями, зменшувати коефіцієнт тертя, відводити тепло та захищати поверхні від корозійного впливу. Порушення режиму мащення або потрапляння до мастила пилу, вологи та технологічних продуктів здатне істотно прискорити зношування деталей.</w:t>
      </w:r>
    </w:p>
    <w:p w14:paraId="22C432BB"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Для підшипникових вузлів сільськогосподарських машин доведена доцільність системного підходу, що поєднує вдосконалення мастильних матеріалів, підвищення якості поверхонь тертя та ефективну герметизацію вузлів [5]. Аналогічні принципи доцільно застосовувати і для машинно-технологічного обладнання тваринницьких комплексів, де забруднення та підвищена вологість є характерними експлуатаційними чинниками.</w:t>
      </w:r>
    </w:p>
    <w:p w14:paraId="78B494E8"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Іншим перспективним напрямом є використання технологій поверхневої інженерії: нанесення зносостійких покриттів, поверхневого пластичного деформування, хіміко-термічної обробки та формування раціонального мікрорельєфу поверхонь. Застосування таких методів дає можливість змінювати фізико-механічні властивості поверхневих шарів деталей без істотної зміни конструкції вузла.</w:t>
      </w:r>
    </w:p>
    <w:p w14:paraId="14533D98"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Подальший розвиток технологій відновлення та припрацювання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також створює резерв підвищення ресурсу сільськогосподарської техніки. Використання спеціальних </w:t>
      </w:r>
      <w:proofErr w:type="spellStart"/>
      <w:r w:rsidRPr="006358CC">
        <w:rPr>
          <w:rFonts w:ascii="Times New Roman" w:hAnsi="Times New Roman" w:cs="Times New Roman"/>
          <w:sz w:val="28"/>
          <w:szCs w:val="28"/>
        </w:rPr>
        <w:t>триботехнологій</w:t>
      </w:r>
      <w:proofErr w:type="spellEnd"/>
      <w:r w:rsidRPr="006358CC">
        <w:rPr>
          <w:rFonts w:ascii="Times New Roman" w:hAnsi="Times New Roman" w:cs="Times New Roman"/>
          <w:sz w:val="28"/>
          <w:szCs w:val="28"/>
        </w:rPr>
        <w:t xml:space="preserve"> дозволяє формувати на контактних поверхнях вторинні структури та плівки, здатні знижувати інтенсивність зношування і покращувати умови роботи спряжених деталей [6].</w:t>
      </w:r>
    </w:p>
    <w:p w14:paraId="2981BEB5"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Суттєве значення для сучасних тваринницьких підприємств має перехід від ремонту обладнання після виникнення відмови до обслуговування за фактичним технічним станом. Контроль температури підшипникових вузлів, рівня вібрації, акустичних параметрів, стану мастильного матеріалу та величини споживаної електродвигуном потужності дає можливість своєчасно виявляти розвиток пошкоджень. </w:t>
      </w:r>
      <w:proofErr w:type="spellStart"/>
      <w:r w:rsidRPr="006358CC">
        <w:rPr>
          <w:rFonts w:ascii="Times New Roman" w:hAnsi="Times New Roman" w:cs="Times New Roman"/>
          <w:sz w:val="28"/>
          <w:szCs w:val="28"/>
        </w:rPr>
        <w:t>Трибологічна</w:t>
      </w:r>
      <w:proofErr w:type="spellEnd"/>
      <w:r w:rsidRPr="006358CC">
        <w:rPr>
          <w:rFonts w:ascii="Times New Roman" w:hAnsi="Times New Roman" w:cs="Times New Roman"/>
          <w:sz w:val="28"/>
          <w:szCs w:val="28"/>
        </w:rPr>
        <w:t xml:space="preserve"> надійність вузлів тертя може оцінюватися із </w:t>
      </w:r>
      <w:r w:rsidRPr="006358CC">
        <w:rPr>
          <w:rFonts w:ascii="Times New Roman" w:hAnsi="Times New Roman" w:cs="Times New Roman"/>
          <w:sz w:val="28"/>
          <w:szCs w:val="28"/>
        </w:rPr>
        <w:lastRenderedPageBreak/>
        <w:t>застосуванням імовірнісних методів з урахуванням випадкового характеру навантажень і процесу накопичення зносу [7].</w:t>
      </w:r>
    </w:p>
    <w:p w14:paraId="051A5191"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Застосування систем технічного діагностування у поєднанні з цифровими технологіями створює передумови для прогнозування залишкового ресурсу найбільш відповідальних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Це особливо важливо для автоматизованих тваринницьких комплексів, де раптова відмова одного механізму може порушувати роботу взаємопов’язаної технологічної лінії.</w:t>
      </w:r>
    </w:p>
    <w:p w14:paraId="6EE6D54A"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Отже, довговічність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є одним із ключових чинників забезпечення ефективності машинно-технологічних систем у тваринництві. Збільшення ресурсу пар тертя забезпечує скорочення кількості відмов і аварійних простоїв, зменшення ремонтно-експлуатаційних витрат, підвищення коефіцієнта технічного використання обладнання та зниження непродуктивних енергетичних втрат.</w:t>
      </w:r>
    </w:p>
    <w:p w14:paraId="6D8B0ED3"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Підвищення довговічності </w:t>
      </w:r>
      <w:proofErr w:type="spellStart"/>
      <w:r w:rsidRPr="006358CC">
        <w:rPr>
          <w:rFonts w:ascii="Times New Roman" w:hAnsi="Times New Roman" w:cs="Times New Roman"/>
          <w:sz w:val="28"/>
          <w:szCs w:val="28"/>
        </w:rPr>
        <w:t>трибоспряжень</w:t>
      </w:r>
      <w:proofErr w:type="spellEnd"/>
      <w:r w:rsidRPr="006358CC">
        <w:rPr>
          <w:rFonts w:ascii="Times New Roman" w:hAnsi="Times New Roman" w:cs="Times New Roman"/>
          <w:sz w:val="28"/>
          <w:szCs w:val="28"/>
        </w:rPr>
        <w:t xml:space="preserve"> повинно базуватися на комплексному поєднанні конструктивних, технологічних та експлуатаційних заходів: застосуванні зносостійких матеріалів і покриттів, раціональному виборі мастильних середовищ, удосконаленні систем ущільнення, контролі якості поверхонь, своєчасному технічному обслуговуванні та впровадженні систем моніторингу технічного стану.</w:t>
      </w:r>
    </w:p>
    <w:p w14:paraId="37696696" w14:textId="77777777" w:rsidR="006358CC" w:rsidRPr="006358CC" w:rsidRDefault="006358CC" w:rsidP="00A224FF">
      <w:pPr>
        <w:spacing w:after="0" w:line="276" w:lineRule="auto"/>
        <w:ind w:firstLine="709"/>
        <w:jc w:val="both"/>
        <w:rPr>
          <w:rFonts w:ascii="Times New Roman" w:hAnsi="Times New Roman" w:cs="Times New Roman"/>
          <w:sz w:val="28"/>
          <w:szCs w:val="28"/>
        </w:rPr>
      </w:pPr>
      <w:r w:rsidRPr="006358CC">
        <w:rPr>
          <w:rFonts w:ascii="Times New Roman" w:hAnsi="Times New Roman" w:cs="Times New Roman"/>
          <w:sz w:val="28"/>
          <w:szCs w:val="28"/>
        </w:rPr>
        <w:t xml:space="preserve">За такого підходу </w:t>
      </w:r>
      <w:proofErr w:type="spellStart"/>
      <w:r w:rsidRPr="006358CC">
        <w:rPr>
          <w:rFonts w:ascii="Times New Roman" w:hAnsi="Times New Roman" w:cs="Times New Roman"/>
          <w:sz w:val="28"/>
          <w:szCs w:val="28"/>
        </w:rPr>
        <w:t>трибологічне</w:t>
      </w:r>
      <w:proofErr w:type="spellEnd"/>
      <w:r w:rsidRPr="006358CC">
        <w:rPr>
          <w:rFonts w:ascii="Times New Roman" w:hAnsi="Times New Roman" w:cs="Times New Roman"/>
          <w:sz w:val="28"/>
          <w:szCs w:val="28"/>
        </w:rPr>
        <w:t xml:space="preserve"> забезпечення довговічності машин перестає бути лише завданням ремонту окремих деталей і стає важливою складовою управління ефективністю всього тваринницького виробництва.</w:t>
      </w:r>
    </w:p>
    <w:p w14:paraId="61914D46" w14:textId="77777777" w:rsidR="006358CC" w:rsidRPr="006358CC" w:rsidRDefault="006358CC" w:rsidP="00A224FF">
      <w:pPr>
        <w:spacing w:after="0" w:line="276" w:lineRule="auto"/>
        <w:ind w:firstLine="709"/>
        <w:jc w:val="both"/>
        <w:rPr>
          <w:rFonts w:ascii="Times New Roman" w:hAnsi="Times New Roman" w:cs="Times New Roman"/>
          <w:sz w:val="28"/>
          <w:szCs w:val="28"/>
        </w:rPr>
      </w:pPr>
    </w:p>
    <w:p w14:paraId="1E4E6CE5" w14:textId="77777777" w:rsidR="006358CC" w:rsidRPr="006358CC" w:rsidRDefault="006358CC" w:rsidP="00F62B7E">
      <w:pPr>
        <w:spacing w:after="0" w:line="276" w:lineRule="auto"/>
        <w:jc w:val="center"/>
        <w:rPr>
          <w:rFonts w:ascii="Times New Roman" w:hAnsi="Times New Roman" w:cs="Times New Roman"/>
          <w:b/>
          <w:bCs/>
          <w:sz w:val="28"/>
          <w:szCs w:val="28"/>
        </w:rPr>
      </w:pPr>
      <w:r w:rsidRPr="006358CC">
        <w:rPr>
          <w:rFonts w:ascii="Times New Roman" w:hAnsi="Times New Roman" w:cs="Times New Roman"/>
          <w:b/>
          <w:bCs/>
          <w:sz w:val="28"/>
          <w:szCs w:val="28"/>
        </w:rPr>
        <w:t>Список використаних джерел</w:t>
      </w:r>
    </w:p>
    <w:p w14:paraId="20DB9DB9" w14:textId="77777777" w:rsidR="006358CC" w:rsidRPr="006358C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proofErr w:type="spellStart"/>
      <w:r w:rsidRPr="006358CC">
        <w:rPr>
          <w:rFonts w:ascii="Times New Roman" w:hAnsi="Times New Roman" w:cs="Times New Roman"/>
          <w:sz w:val="28"/>
          <w:szCs w:val="28"/>
        </w:rPr>
        <w:t>Hutchings</w:t>
      </w:r>
      <w:proofErr w:type="spellEnd"/>
      <w:r w:rsidRPr="006358CC">
        <w:rPr>
          <w:rFonts w:ascii="Times New Roman" w:hAnsi="Times New Roman" w:cs="Times New Roman"/>
          <w:sz w:val="28"/>
          <w:szCs w:val="28"/>
        </w:rPr>
        <w:t xml:space="preserve"> I. M., </w:t>
      </w:r>
      <w:proofErr w:type="spellStart"/>
      <w:r w:rsidRPr="006358CC">
        <w:rPr>
          <w:rFonts w:ascii="Times New Roman" w:hAnsi="Times New Roman" w:cs="Times New Roman"/>
          <w:sz w:val="28"/>
          <w:szCs w:val="28"/>
        </w:rPr>
        <w:t>Shipway</w:t>
      </w:r>
      <w:proofErr w:type="spellEnd"/>
      <w:r w:rsidRPr="006358CC">
        <w:rPr>
          <w:rFonts w:ascii="Times New Roman" w:hAnsi="Times New Roman" w:cs="Times New Roman"/>
          <w:sz w:val="28"/>
          <w:szCs w:val="28"/>
        </w:rPr>
        <w:t xml:space="preserve"> P. </w:t>
      </w:r>
      <w:proofErr w:type="spellStart"/>
      <w:r w:rsidRPr="006358CC">
        <w:rPr>
          <w:rFonts w:ascii="Times New Roman" w:hAnsi="Times New Roman" w:cs="Times New Roman"/>
          <w:sz w:val="28"/>
          <w:szCs w:val="28"/>
        </w:rPr>
        <w:t>Tribology</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Friction</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and</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Wear</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of</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Engineering</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Materials</w:t>
      </w:r>
      <w:proofErr w:type="spellEnd"/>
      <w:r w:rsidRPr="006358CC">
        <w:rPr>
          <w:rFonts w:ascii="Times New Roman" w:hAnsi="Times New Roman" w:cs="Times New Roman"/>
          <w:sz w:val="28"/>
          <w:szCs w:val="28"/>
        </w:rPr>
        <w:t xml:space="preserve">. 2nd </w:t>
      </w:r>
      <w:proofErr w:type="spellStart"/>
      <w:r w:rsidRPr="006358CC">
        <w:rPr>
          <w:rFonts w:ascii="Times New Roman" w:hAnsi="Times New Roman" w:cs="Times New Roman"/>
          <w:sz w:val="28"/>
          <w:szCs w:val="28"/>
        </w:rPr>
        <w:t>ed</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Oxford</w:t>
      </w:r>
      <w:proofErr w:type="spellEnd"/>
      <w:r w:rsidRPr="006358CC">
        <w:rPr>
          <w:rFonts w:ascii="Times New Roman" w:hAnsi="Times New Roman" w:cs="Times New Roman"/>
          <w:sz w:val="28"/>
          <w:szCs w:val="28"/>
        </w:rPr>
        <w:t xml:space="preserve"> : </w:t>
      </w:r>
      <w:proofErr w:type="spellStart"/>
      <w:r w:rsidRPr="006358CC">
        <w:rPr>
          <w:rFonts w:ascii="Times New Roman" w:hAnsi="Times New Roman" w:cs="Times New Roman"/>
          <w:sz w:val="28"/>
          <w:szCs w:val="28"/>
        </w:rPr>
        <w:t>Butterworth-Heinemann</w:t>
      </w:r>
      <w:proofErr w:type="spellEnd"/>
      <w:r w:rsidRPr="006358CC">
        <w:rPr>
          <w:rFonts w:ascii="Times New Roman" w:hAnsi="Times New Roman" w:cs="Times New Roman"/>
          <w:sz w:val="28"/>
          <w:szCs w:val="28"/>
        </w:rPr>
        <w:t>, 2017.</w:t>
      </w:r>
    </w:p>
    <w:p w14:paraId="0DB68F69" w14:textId="77777777" w:rsidR="006358CC" w:rsidRPr="006358C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proofErr w:type="spellStart"/>
      <w:r w:rsidRPr="006358CC">
        <w:rPr>
          <w:rFonts w:ascii="Times New Roman" w:hAnsi="Times New Roman" w:cs="Times New Roman"/>
          <w:sz w:val="28"/>
          <w:szCs w:val="28"/>
        </w:rPr>
        <w:t>Stachowiak</w:t>
      </w:r>
      <w:proofErr w:type="spellEnd"/>
      <w:r w:rsidRPr="006358CC">
        <w:rPr>
          <w:rFonts w:ascii="Times New Roman" w:hAnsi="Times New Roman" w:cs="Times New Roman"/>
          <w:sz w:val="28"/>
          <w:szCs w:val="28"/>
        </w:rPr>
        <w:t xml:space="preserve"> G. W., </w:t>
      </w:r>
      <w:proofErr w:type="spellStart"/>
      <w:r w:rsidRPr="006358CC">
        <w:rPr>
          <w:rFonts w:ascii="Times New Roman" w:hAnsi="Times New Roman" w:cs="Times New Roman"/>
          <w:sz w:val="28"/>
          <w:szCs w:val="28"/>
        </w:rPr>
        <w:t>Batchelor</w:t>
      </w:r>
      <w:proofErr w:type="spellEnd"/>
      <w:r w:rsidRPr="006358CC">
        <w:rPr>
          <w:rFonts w:ascii="Times New Roman" w:hAnsi="Times New Roman" w:cs="Times New Roman"/>
          <w:sz w:val="28"/>
          <w:szCs w:val="28"/>
        </w:rPr>
        <w:t xml:space="preserve"> A. W. </w:t>
      </w:r>
      <w:proofErr w:type="spellStart"/>
      <w:r w:rsidRPr="006358CC">
        <w:rPr>
          <w:rFonts w:ascii="Times New Roman" w:hAnsi="Times New Roman" w:cs="Times New Roman"/>
          <w:sz w:val="28"/>
          <w:szCs w:val="28"/>
        </w:rPr>
        <w:t>Engineering</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Tribology</w:t>
      </w:r>
      <w:proofErr w:type="spellEnd"/>
      <w:r w:rsidRPr="006358CC">
        <w:rPr>
          <w:rFonts w:ascii="Times New Roman" w:hAnsi="Times New Roman" w:cs="Times New Roman"/>
          <w:sz w:val="28"/>
          <w:szCs w:val="28"/>
        </w:rPr>
        <w:t xml:space="preserve">. 4th </w:t>
      </w:r>
      <w:proofErr w:type="spellStart"/>
      <w:r w:rsidRPr="006358CC">
        <w:rPr>
          <w:rFonts w:ascii="Times New Roman" w:hAnsi="Times New Roman" w:cs="Times New Roman"/>
          <w:sz w:val="28"/>
          <w:szCs w:val="28"/>
        </w:rPr>
        <w:t>ed</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Oxford</w:t>
      </w:r>
      <w:proofErr w:type="spellEnd"/>
      <w:r w:rsidRPr="006358CC">
        <w:rPr>
          <w:rFonts w:ascii="Times New Roman" w:hAnsi="Times New Roman" w:cs="Times New Roman"/>
          <w:sz w:val="28"/>
          <w:szCs w:val="28"/>
        </w:rPr>
        <w:t xml:space="preserve"> : </w:t>
      </w:r>
      <w:proofErr w:type="spellStart"/>
      <w:r w:rsidRPr="006358CC">
        <w:rPr>
          <w:rFonts w:ascii="Times New Roman" w:hAnsi="Times New Roman" w:cs="Times New Roman"/>
          <w:sz w:val="28"/>
          <w:szCs w:val="28"/>
        </w:rPr>
        <w:t>Butterworth-Heinemann</w:t>
      </w:r>
      <w:proofErr w:type="spellEnd"/>
      <w:r w:rsidRPr="006358CC">
        <w:rPr>
          <w:rFonts w:ascii="Times New Roman" w:hAnsi="Times New Roman" w:cs="Times New Roman"/>
          <w:sz w:val="28"/>
          <w:szCs w:val="28"/>
        </w:rPr>
        <w:t>, 2014. DOI: 10.1016/C2011-0-07515-4.</w:t>
      </w:r>
    </w:p>
    <w:p w14:paraId="6A0D1D3C" w14:textId="77777777" w:rsidR="006358CC" w:rsidRPr="006358C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proofErr w:type="spellStart"/>
      <w:r w:rsidRPr="006358CC">
        <w:rPr>
          <w:rFonts w:ascii="Times New Roman" w:hAnsi="Times New Roman" w:cs="Times New Roman"/>
          <w:sz w:val="28"/>
          <w:szCs w:val="28"/>
        </w:rPr>
        <w:t>Novitskiy</w:t>
      </w:r>
      <w:proofErr w:type="spellEnd"/>
      <w:r w:rsidRPr="006358CC">
        <w:rPr>
          <w:rFonts w:ascii="Times New Roman" w:hAnsi="Times New Roman" w:cs="Times New Roman"/>
          <w:sz w:val="28"/>
          <w:szCs w:val="28"/>
        </w:rPr>
        <w:t xml:space="preserve"> A., </w:t>
      </w:r>
      <w:proofErr w:type="spellStart"/>
      <w:r w:rsidRPr="006358CC">
        <w:rPr>
          <w:rFonts w:ascii="Times New Roman" w:hAnsi="Times New Roman" w:cs="Times New Roman"/>
          <w:sz w:val="28"/>
          <w:szCs w:val="28"/>
        </w:rPr>
        <w:t>Banniy</w:t>
      </w:r>
      <w:proofErr w:type="spellEnd"/>
      <w:r w:rsidRPr="006358CC">
        <w:rPr>
          <w:rFonts w:ascii="Times New Roman" w:hAnsi="Times New Roman" w:cs="Times New Roman"/>
          <w:sz w:val="28"/>
          <w:szCs w:val="28"/>
        </w:rPr>
        <w:t xml:space="preserve"> O., </w:t>
      </w:r>
      <w:proofErr w:type="spellStart"/>
      <w:r w:rsidRPr="006358CC">
        <w:rPr>
          <w:rFonts w:ascii="Times New Roman" w:hAnsi="Times New Roman" w:cs="Times New Roman"/>
          <w:sz w:val="28"/>
          <w:szCs w:val="28"/>
        </w:rPr>
        <w:t>Novitskyi</w:t>
      </w:r>
      <w:proofErr w:type="spellEnd"/>
      <w:r w:rsidRPr="006358CC">
        <w:rPr>
          <w:rFonts w:ascii="Times New Roman" w:hAnsi="Times New Roman" w:cs="Times New Roman"/>
          <w:sz w:val="28"/>
          <w:szCs w:val="28"/>
        </w:rPr>
        <w:t xml:space="preserve"> Y., </w:t>
      </w:r>
      <w:proofErr w:type="spellStart"/>
      <w:r w:rsidRPr="006358CC">
        <w:rPr>
          <w:rFonts w:ascii="Times New Roman" w:hAnsi="Times New Roman" w:cs="Times New Roman"/>
          <w:sz w:val="28"/>
          <w:szCs w:val="28"/>
        </w:rPr>
        <w:t>Antal</w:t>
      </w:r>
      <w:proofErr w:type="spellEnd"/>
      <w:r w:rsidRPr="006358CC">
        <w:rPr>
          <w:rFonts w:ascii="Times New Roman" w:hAnsi="Times New Roman" w:cs="Times New Roman"/>
          <w:sz w:val="28"/>
          <w:szCs w:val="28"/>
        </w:rPr>
        <w:t xml:space="preserve"> M. A </w:t>
      </w:r>
      <w:proofErr w:type="spellStart"/>
      <w:r w:rsidRPr="006358CC">
        <w:rPr>
          <w:rFonts w:ascii="Times New Roman" w:hAnsi="Times New Roman" w:cs="Times New Roman"/>
          <w:sz w:val="28"/>
          <w:szCs w:val="28"/>
        </w:rPr>
        <w:t>study</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of</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mixer-feeder</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equipment</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operational</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reliability</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Machinery</w:t>
      </w:r>
      <w:proofErr w:type="spellEnd"/>
      <w:r w:rsidRPr="006358CC">
        <w:rPr>
          <w:rFonts w:ascii="Times New Roman" w:hAnsi="Times New Roman" w:cs="Times New Roman"/>
          <w:sz w:val="28"/>
          <w:szCs w:val="28"/>
        </w:rPr>
        <w:t xml:space="preserve"> &amp; </w:t>
      </w:r>
      <w:proofErr w:type="spellStart"/>
      <w:r w:rsidRPr="006358CC">
        <w:rPr>
          <w:rFonts w:ascii="Times New Roman" w:hAnsi="Times New Roman" w:cs="Times New Roman"/>
          <w:sz w:val="28"/>
          <w:szCs w:val="28"/>
        </w:rPr>
        <w:t>Energetics</w:t>
      </w:r>
      <w:proofErr w:type="spellEnd"/>
      <w:r w:rsidRPr="006358CC">
        <w:rPr>
          <w:rFonts w:ascii="Times New Roman" w:hAnsi="Times New Roman" w:cs="Times New Roman"/>
          <w:sz w:val="28"/>
          <w:szCs w:val="28"/>
        </w:rPr>
        <w:t xml:space="preserve">. 2023. </w:t>
      </w:r>
      <w:proofErr w:type="spellStart"/>
      <w:r w:rsidRPr="006358CC">
        <w:rPr>
          <w:rFonts w:ascii="Times New Roman" w:hAnsi="Times New Roman" w:cs="Times New Roman"/>
          <w:sz w:val="28"/>
          <w:szCs w:val="28"/>
        </w:rPr>
        <w:t>Vol</w:t>
      </w:r>
      <w:proofErr w:type="spellEnd"/>
      <w:r w:rsidRPr="006358CC">
        <w:rPr>
          <w:rFonts w:ascii="Times New Roman" w:hAnsi="Times New Roman" w:cs="Times New Roman"/>
          <w:sz w:val="28"/>
          <w:szCs w:val="28"/>
        </w:rPr>
        <w:t xml:space="preserve">. 14, </w:t>
      </w:r>
      <w:proofErr w:type="spellStart"/>
      <w:r w:rsidRPr="006358CC">
        <w:rPr>
          <w:rFonts w:ascii="Times New Roman" w:hAnsi="Times New Roman" w:cs="Times New Roman"/>
          <w:sz w:val="28"/>
          <w:szCs w:val="28"/>
        </w:rPr>
        <w:t>No</w:t>
      </w:r>
      <w:proofErr w:type="spellEnd"/>
      <w:r w:rsidRPr="006358CC">
        <w:rPr>
          <w:rFonts w:ascii="Times New Roman" w:hAnsi="Times New Roman" w:cs="Times New Roman"/>
          <w:sz w:val="28"/>
          <w:szCs w:val="28"/>
        </w:rPr>
        <w:t>. 4. P. 101–110. DOI: 10.31548/</w:t>
      </w:r>
      <w:proofErr w:type="spellStart"/>
      <w:r w:rsidRPr="006358CC">
        <w:rPr>
          <w:rFonts w:ascii="Times New Roman" w:hAnsi="Times New Roman" w:cs="Times New Roman"/>
          <w:sz w:val="28"/>
          <w:szCs w:val="28"/>
        </w:rPr>
        <w:t>machinery</w:t>
      </w:r>
      <w:proofErr w:type="spellEnd"/>
      <w:r w:rsidRPr="006358CC">
        <w:rPr>
          <w:rFonts w:ascii="Times New Roman" w:hAnsi="Times New Roman" w:cs="Times New Roman"/>
          <w:sz w:val="28"/>
          <w:szCs w:val="28"/>
        </w:rPr>
        <w:t>/4.2023.101.</w:t>
      </w:r>
    </w:p>
    <w:p w14:paraId="46A1B427" w14:textId="77777777" w:rsidR="006358CC" w:rsidRPr="006358C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proofErr w:type="spellStart"/>
      <w:r w:rsidRPr="006358CC">
        <w:rPr>
          <w:rFonts w:ascii="Times New Roman" w:hAnsi="Times New Roman" w:cs="Times New Roman"/>
          <w:sz w:val="28"/>
          <w:szCs w:val="28"/>
        </w:rPr>
        <w:t>Holmberg</w:t>
      </w:r>
      <w:proofErr w:type="spellEnd"/>
      <w:r w:rsidRPr="006358CC">
        <w:rPr>
          <w:rFonts w:ascii="Times New Roman" w:hAnsi="Times New Roman" w:cs="Times New Roman"/>
          <w:sz w:val="28"/>
          <w:szCs w:val="28"/>
        </w:rPr>
        <w:t xml:space="preserve"> K., </w:t>
      </w:r>
      <w:proofErr w:type="spellStart"/>
      <w:r w:rsidRPr="006358CC">
        <w:rPr>
          <w:rFonts w:ascii="Times New Roman" w:hAnsi="Times New Roman" w:cs="Times New Roman"/>
          <w:sz w:val="28"/>
          <w:szCs w:val="28"/>
        </w:rPr>
        <w:t>Erdemir</w:t>
      </w:r>
      <w:proofErr w:type="spellEnd"/>
      <w:r w:rsidRPr="006358CC">
        <w:rPr>
          <w:rFonts w:ascii="Times New Roman" w:hAnsi="Times New Roman" w:cs="Times New Roman"/>
          <w:sz w:val="28"/>
          <w:szCs w:val="28"/>
        </w:rPr>
        <w:t xml:space="preserve"> A. </w:t>
      </w:r>
      <w:proofErr w:type="spellStart"/>
      <w:r w:rsidRPr="006358CC">
        <w:rPr>
          <w:rFonts w:ascii="Times New Roman" w:hAnsi="Times New Roman" w:cs="Times New Roman"/>
          <w:sz w:val="28"/>
          <w:szCs w:val="28"/>
        </w:rPr>
        <w:t>Influence</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of</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tribology</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on</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global</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energy</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consumption</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costs</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and</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emissions</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Friction</w:t>
      </w:r>
      <w:proofErr w:type="spellEnd"/>
      <w:r w:rsidRPr="006358CC">
        <w:rPr>
          <w:rFonts w:ascii="Times New Roman" w:hAnsi="Times New Roman" w:cs="Times New Roman"/>
          <w:sz w:val="28"/>
          <w:szCs w:val="28"/>
        </w:rPr>
        <w:t xml:space="preserve">. 2017. </w:t>
      </w:r>
      <w:proofErr w:type="spellStart"/>
      <w:r w:rsidRPr="006358CC">
        <w:rPr>
          <w:rFonts w:ascii="Times New Roman" w:hAnsi="Times New Roman" w:cs="Times New Roman"/>
          <w:sz w:val="28"/>
          <w:szCs w:val="28"/>
        </w:rPr>
        <w:t>Vol</w:t>
      </w:r>
      <w:proofErr w:type="spellEnd"/>
      <w:r w:rsidRPr="006358CC">
        <w:rPr>
          <w:rFonts w:ascii="Times New Roman" w:hAnsi="Times New Roman" w:cs="Times New Roman"/>
          <w:sz w:val="28"/>
          <w:szCs w:val="28"/>
        </w:rPr>
        <w:t xml:space="preserve">. 5, </w:t>
      </w:r>
      <w:proofErr w:type="spellStart"/>
      <w:r w:rsidRPr="006358CC">
        <w:rPr>
          <w:rFonts w:ascii="Times New Roman" w:hAnsi="Times New Roman" w:cs="Times New Roman"/>
          <w:sz w:val="28"/>
          <w:szCs w:val="28"/>
        </w:rPr>
        <w:t>No</w:t>
      </w:r>
      <w:proofErr w:type="spellEnd"/>
      <w:r w:rsidRPr="006358CC">
        <w:rPr>
          <w:rFonts w:ascii="Times New Roman" w:hAnsi="Times New Roman" w:cs="Times New Roman"/>
          <w:sz w:val="28"/>
          <w:szCs w:val="28"/>
        </w:rPr>
        <w:t>. 3. P. 263–284. DOI: 10.1007/s40544-017-0183-5.</w:t>
      </w:r>
    </w:p>
    <w:p w14:paraId="5A88779D" w14:textId="77777777" w:rsidR="006358CC" w:rsidRPr="006358C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proofErr w:type="spellStart"/>
      <w:r w:rsidRPr="006358CC">
        <w:rPr>
          <w:rFonts w:ascii="Times New Roman" w:hAnsi="Times New Roman" w:cs="Times New Roman"/>
          <w:sz w:val="28"/>
          <w:szCs w:val="28"/>
        </w:rPr>
        <w:t>Lymar</w:t>
      </w:r>
      <w:proofErr w:type="spellEnd"/>
      <w:r w:rsidRPr="006358CC">
        <w:rPr>
          <w:rFonts w:ascii="Times New Roman" w:hAnsi="Times New Roman" w:cs="Times New Roman"/>
          <w:sz w:val="28"/>
          <w:szCs w:val="28"/>
        </w:rPr>
        <w:t xml:space="preserve"> O. </w:t>
      </w:r>
      <w:proofErr w:type="spellStart"/>
      <w:r w:rsidRPr="006358CC">
        <w:rPr>
          <w:rFonts w:ascii="Times New Roman" w:hAnsi="Times New Roman" w:cs="Times New Roman"/>
          <w:sz w:val="28"/>
          <w:szCs w:val="28"/>
        </w:rPr>
        <w:t>Increasing</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the</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wear</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resistance</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of</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friction</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bearing</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units</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of</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agricultural</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machinery</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based</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on</w:t>
      </w:r>
      <w:proofErr w:type="spellEnd"/>
      <w:r w:rsidRPr="006358CC">
        <w:rPr>
          <w:rFonts w:ascii="Times New Roman" w:hAnsi="Times New Roman" w:cs="Times New Roman"/>
          <w:sz w:val="28"/>
          <w:szCs w:val="28"/>
        </w:rPr>
        <w:t xml:space="preserve"> a </w:t>
      </w:r>
      <w:proofErr w:type="spellStart"/>
      <w:r w:rsidRPr="006358CC">
        <w:rPr>
          <w:rFonts w:ascii="Times New Roman" w:hAnsi="Times New Roman" w:cs="Times New Roman"/>
          <w:sz w:val="28"/>
          <w:szCs w:val="28"/>
        </w:rPr>
        <w:t>comprehensive</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tribological</w:t>
      </w:r>
      <w:proofErr w:type="spellEnd"/>
      <w:r w:rsidRPr="006358CC">
        <w:rPr>
          <w:rFonts w:ascii="Times New Roman" w:hAnsi="Times New Roman" w:cs="Times New Roman"/>
          <w:sz w:val="28"/>
          <w:szCs w:val="28"/>
        </w:rPr>
        <w:t xml:space="preserve"> </w:t>
      </w:r>
      <w:proofErr w:type="spellStart"/>
      <w:r w:rsidRPr="006358CC">
        <w:rPr>
          <w:rFonts w:ascii="Times New Roman" w:hAnsi="Times New Roman" w:cs="Times New Roman"/>
          <w:sz w:val="28"/>
          <w:szCs w:val="28"/>
        </w:rPr>
        <w:t>approach</w:t>
      </w:r>
      <w:proofErr w:type="spellEnd"/>
      <w:r w:rsidRPr="006358CC">
        <w:rPr>
          <w:rFonts w:ascii="Times New Roman" w:hAnsi="Times New Roman" w:cs="Times New Roman"/>
          <w:sz w:val="28"/>
          <w:szCs w:val="28"/>
        </w:rPr>
        <w:t>. Продовольча безпека України в умовах післявоєнного відновлення: глобальні та національні виміри : матеріали Міжнародного форуму. Миколаїв : МНАУ, 2026. С. 108–110. DOI: 10.31521/978-617-7149-94-0-34.</w:t>
      </w:r>
    </w:p>
    <w:p w14:paraId="706B763B" w14:textId="77777777" w:rsidR="003F160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r w:rsidRPr="006358CC">
        <w:rPr>
          <w:rFonts w:ascii="Times New Roman" w:hAnsi="Times New Roman" w:cs="Times New Roman"/>
          <w:sz w:val="28"/>
          <w:szCs w:val="28"/>
        </w:rPr>
        <w:lastRenderedPageBreak/>
        <w:t xml:space="preserve">Борак К. В. Комплексний підхід підвищення довговічності та зносостійкості робочих органів ґрунтообробних машин : </w:t>
      </w:r>
      <w:proofErr w:type="spellStart"/>
      <w:r w:rsidRPr="006358CC">
        <w:rPr>
          <w:rFonts w:ascii="Times New Roman" w:hAnsi="Times New Roman" w:cs="Times New Roman"/>
          <w:sz w:val="28"/>
          <w:szCs w:val="28"/>
        </w:rPr>
        <w:t>дис</w:t>
      </w:r>
      <w:proofErr w:type="spellEnd"/>
      <w:r w:rsidRPr="006358CC">
        <w:rPr>
          <w:rFonts w:ascii="Times New Roman" w:hAnsi="Times New Roman" w:cs="Times New Roman"/>
          <w:sz w:val="28"/>
          <w:szCs w:val="28"/>
        </w:rPr>
        <w:t xml:space="preserve">. … д-ра. </w:t>
      </w:r>
      <w:proofErr w:type="spellStart"/>
      <w:r w:rsidRPr="006358CC">
        <w:rPr>
          <w:rFonts w:ascii="Times New Roman" w:hAnsi="Times New Roman" w:cs="Times New Roman"/>
          <w:sz w:val="28"/>
          <w:szCs w:val="28"/>
        </w:rPr>
        <w:t>техн</w:t>
      </w:r>
      <w:proofErr w:type="spellEnd"/>
      <w:r w:rsidRPr="006358CC">
        <w:rPr>
          <w:rFonts w:ascii="Times New Roman" w:hAnsi="Times New Roman" w:cs="Times New Roman"/>
          <w:sz w:val="28"/>
          <w:szCs w:val="28"/>
        </w:rPr>
        <w:t>. наук : 05.05.11 / Поліський національний університет, м. Житомир. 2021. 380.</w:t>
      </w:r>
    </w:p>
    <w:p w14:paraId="67E5EDFA" w14:textId="11868365" w:rsidR="0042298E" w:rsidRPr="003F160C" w:rsidRDefault="006358CC" w:rsidP="00A224FF">
      <w:pPr>
        <w:pStyle w:val="a9"/>
        <w:numPr>
          <w:ilvl w:val="0"/>
          <w:numId w:val="1"/>
        </w:numPr>
        <w:spacing w:after="0" w:line="276" w:lineRule="auto"/>
        <w:ind w:left="0" w:firstLine="709"/>
        <w:jc w:val="both"/>
        <w:rPr>
          <w:rFonts w:ascii="Times New Roman" w:hAnsi="Times New Roman" w:cs="Times New Roman"/>
          <w:sz w:val="28"/>
          <w:szCs w:val="28"/>
        </w:rPr>
      </w:pPr>
      <w:proofErr w:type="spellStart"/>
      <w:r w:rsidRPr="003F160C">
        <w:rPr>
          <w:rFonts w:ascii="Times New Roman" w:hAnsi="Times New Roman" w:cs="Times New Roman"/>
          <w:sz w:val="28"/>
          <w:szCs w:val="28"/>
        </w:rPr>
        <w:t>Dykha</w:t>
      </w:r>
      <w:proofErr w:type="spellEnd"/>
      <w:r w:rsidRPr="003F160C">
        <w:rPr>
          <w:rFonts w:ascii="Times New Roman" w:hAnsi="Times New Roman" w:cs="Times New Roman"/>
          <w:sz w:val="28"/>
          <w:szCs w:val="28"/>
        </w:rPr>
        <w:t xml:space="preserve"> M. O., </w:t>
      </w:r>
      <w:proofErr w:type="spellStart"/>
      <w:r w:rsidRPr="003F160C">
        <w:rPr>
          <w:rFonts w:ascii="Times New Roman" w:hAnsi="Times New Roman" w:cs="Times New Roman"/>
          <w:sz w:val="28"/>
          <w:szCs w:val="28"/>
        </w:rPr>
        <w:t>Dytyniuk</w:t>
      </w:r>
      <w:proofErr w:type="spellEnd"/>
      <w:r w:rsidRPr="003F160C">
        <w:rPr>
          <w:rFonts w:ascii="Times New Roman" w:hAnsi="Times New Roman" w:cs="Times New Roman"/>
          <w:sz w:val="28"/>
          <w:szCs w:val="28"/>
        </w:rPr>
        <w:t xml:space="preserve"> V. O., </w:t>
      </w:r>
      <w:proofErr w:type="spellStart"/>
      <w:r w:rsidRPr="003F160C">
        <w:rPr>
          <w:rFonts w:ascii="Times New Roman" w:hAnsi="Times New Roman" w:cs="Times New Roman"/>
          <w:sz w:val="28"/>
          <w:szCs w:val="28"/>
        </w:rPr>
        <w:t>Staryi</w:t>
      </w:r>
      <w:proofErr w:type="spellEnd"/>
      <w:r w:rsidRPr="003F160C">
        <w:rPr>
          <w:rFonts w:ascii="Times New Roman" w:hAnsi="Times New Roman" w:cs="Times New Roman"/>
          <w:sz w:val="28"/>
          <w:szCs w:val="28"/>
        </w:rPr>
        <w:t xml:space="preserve"> A. L. </w:t>
      </w:r>
      <w:proofErr w:type="spellStart"/>
      <w:r w:rsidRPr="003F160C">
        <w:rPr>
          <w:rFonts w:ascii="Times New Roman" w:hAnsi="Times New Roman" w:cs="Times New Roman"/>
          <w:sz w:val="28"/>
          <w:szCs w:val="28"/>
        </w:rPr>
        <w:t>Probabilistic</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approach</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to</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assessing</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tribotechnical</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reliability</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indicators</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of</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friction</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units</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Problems</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of</w:t>
      </w:r>
      <w:proofErr w:type="spellEnd"/>
      <w:r w:rsidRPr="003F160C">
        <w:rPr>
          <w:rFonts w:ascii="Times New Roman" w:hAnsi="Times New Roman" w:cs="Times New Roman"/>
          <w:sz w:val="28"/>
          <w:szCs w:val="28"/>
        </w:rPr>
        <w:t xml:space="preserve"> </w:t>
      </w:r>
      <w:proofErr w:type="spellStart"/>
      <w:r w:rsidRPr="003F160C">
        <w:rPr>
          <w:rFonts w:ascii="Times New Roman" w:hAnsi="Times New Roman" w:cs="Times New Roman"/>
          <w:sz w:val="28"/>
          <w:szCs w:val="28"/>
        </w:rPr>
        <w:t>Tribology</w:t>
      </w:r>
      <w:proofErr w:type="spellEnd"/>
      <w:r w:rsidRPr="003F160C">
        <w:rPr>
          <w:rFonts w:ascii="Times New Roman" w:hAnsi="Times New Roman" w:cs="Times New Roman"/>
          <w:sz w:val="28"/>
          <w:szCs w:val="28"/>
        </w:rPr>
        <w:t xml:space="preserve">. 2025. </w:t>
      </w:r>
      <w:proofErr w:type="spellStart"/>
      <w:r w:rsidRPr="003F160C">
        <w:rPr>
          <w:rFonts w:ascii="Times New Roman" w:hAnsi="Times New Roman" w:cs="Times New Roman"/>
          <w:sz w:val="28"/>
          <w:szCs w:val="28"/>
        </w:rPr>
        <w:t>Vol</w:t>
      </w:r>
      <w:proofErr w:type="spellEnd"/>
      <w:r w:rsidRPr="003F160C">
        <w:rPr>
          <w:rFonts w:ascii="Times New Roman" w:hAnsi="Times New Roman" w:cs="Times New Roman"/>
          <w:sz w:val="28"/>
          <w:szCs w:val="28"/>
        </w:rPr>
        <w:t xml:space="preserve">. 30, </w:t>
      </w:r>
      <w:proofErr w:type="spellStart"/>
      <w:r w:rsidRPr="003F160C">
        <w:rPr>
          <w:rFonts w:ascii="Times New Roman" w:hAnsi="Times New Roman" w:cs="Times New Roman"/>
          <w:sz w:val="28"/>
          <w:szCs w:val="28"/>
        </w:rPr>
        <w:t>No</w:t>
      </w:r>
      <w:proofErr w:type="spellEnd"/>
      <w:r w:rsidRPr="003F160C">
        <w:rPr>
          <w:rFonts w:ascii="Times New Roman" w:hAnsi="Times New Roman" w:cs="Times New Roman"/>
          <w:sz w:val="28"/>
          <w:szCs w:val="28"/>
        </w:rPr>
        <w:t>. 1. P. 27–33. DOI: 10.31891/2079-1372-2025-116-1-27-33.</w:t>
      </w:r>
    </w:p>
    <w:sectPr w:rsidR="0042298E" w:rsidRPr="003F160C" w:rsidSect="0003358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FD15B9"/>
    <w:multiLevelType w:val="hybridMultilevel"/>
    <w:tmpl w:val="FF18E0B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06320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00"/>
    <w:rsid w:val="00033581"/>
    <w:rsid w:val="003F160C"/>
    <w:rsid w:val="00414AE7"/>
    <w:rsid w:val="0042298E"/>
    <w:rsid w:val="00595CB8"/>
    <w:rsid w:val="006358CC"/>
    <w:rsid w:val="00A224FF"/>
    <w:rsid w:val="00A8091B"/>
    <w:rsid w:val="00C5436F"/>
    <w:rsid w:val="00E61E00"/>
    <w:rsid w:val="00F62B7E"/>
    <w:rsid w:val="00F817A2"/>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1110E"/>
  <w15:chartTrackingRefBased/>
  <w15:docId w15:val="{FBEA17C0-940F-4B90-A4E7-52A44DC6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581"/>
  </w:style>
  <w:style w:type="paragraph" w:styleId="1">
    <w:name w:val="heading 1"/>
    <w:basedOn w:val="a"/>
    <w:next w:val="a"/>
    <w:link w:val="10"/>
    <w:uiPriority w:val="9"/>
    <w:qFormat/>
    <w:rsid w:val="00E61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61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61E0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61E0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61E0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61E0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1E0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1E0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1E0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1E0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61E0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61E0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61E0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61E0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61E0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1E00"/>
    <w:rPr>
      <w:rFonts w:eastAsiaTheme="majorEastAsia" w:cstheme="majorBidi"/>
      <w:color w:val="595959" w:themeColor="text1" w:themeTint="A6"/>
    </w:rPr>
  </w:style>
  <w:style w:type="character" w:customStyle="1" w:styleId="80">
    <w:name w:val="Заголовок 8 Знак"/>
    <w:basedOn w:val="a0"/>
    <w:link w:val="8"/>
    <w:uiPriority w:val="9"/>
    <w:semiHidden/>
    <w:rsid w:val="00E61E0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1E00"/>
    <w:rPr>
      <w:rFonts w:eastAsiaTheme="majorEastAsia" w:cstheme="majorBidi"/>
      <w:color w:val="272727" w:themeColor="text1" w:themeTint="D8"/>
    </w:rPr>
  </w:style>
  <w:style w:type="paragraph" w:styleId="a3">
    <w:name w:val="Title"/>
    <w:basedOn w:val="a"/>
    <w:next w:val="a"/>
    <w:link w:val="a4"/>
    <w:uiPriority w:val="10"/>
    <w:qFormat/>
    <w:rsid w:val="00E61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61E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1E0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61E0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61E00"/>
    <w:pPr>
      <w:spacing w:before="160"/>
      <w:jc w:val="center"/>
    </w:pPr>
    <w:rPr>
      <w:i/>
      <w:iCs/>
      <w:color w:val="404040" w:themeColor="text1" w:themeTint="BF"/>
    </w:rPr>
  </w:style>
  <w:style w:type="character" w:customStyle="1" w:styleId="a8">
    <w:name w:val="Цитата Знак"/>
    <w:basedOn w:val="a0"/>
    <w:link w:val="a7"/>
    <w:uiPriority w:val="29"/>
    <w:rsid w:val="00E61E00"/>
    <w:rPr>
      <w:i/>
      <w:iCs/>
      <w:color w:val="404040" w:themeColor="text1" w:themeTint="BF"/>
    </w:rPr>
  </w:style>
  <w:style w:type="paragraph" w:styleId="a9">
    <w:name w:val="List Paragraph"/>
    <w:basedOn w:val="a"/>
    <w:uiPriority w:val="34"/>
    <w:qFormat/>
    <w:rsid w:val="00E61E00"/>
    <w:pPr>
      <w:ind w:left="720"/>
      <w:contextualSpacing/>
    </w:pPr>
  </w:style>
  <w:style w:type="character" w:styleId="aa">
    <w:name w:val="Intense Emphasis"/>
    <w:basedOn w:val="a0"/>
    <w:uiPriority w:val="21"/>
    <w:qFormat/>
    <w:rsid w:val="00E61E00"/>
    <w:rPr>
      <w:i/>
      <w:iCs/>
      <w:color w:val="0F4761" w:themeColor="accent1" w:themeShade="BF"/>
    </w:rPr>
  </w:style>
  <w:style w:type="paragraph" w:styleId="ab">
    <w:name w:val="Intense Quote"/>
    <w:basedOn w:val="a"/>
    <w:next w:val="a"/>
    <w:link w:val="ac"/>
    <w:uiPriority w:val="30"/>
    <w:qFormat/>
    <w:rsid w:val="00E61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61E00"/>
    <w:rPr>
      <w:i/>
      <w:iCs/>
      <w:color w:val="0F4761" w:themeColor="accent1" w:themeShade="BF"/>
    </w:rPr>
  </w:style>
  <w:style w:type="character" w:styleId="ad">
    <w:name w:val="Intense Reference"/>
    <w:basedOn w:val="a0"/>
    <w:uiPriority w:val="32"/>
    <w:qFormat/>
    <w:rsid w:val="00E61E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6640</Words>
  <Characters>3785</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3</cp:revision>
  <dcterms:created xsi:type="dcterms:W3CDTF">2026-10-05T14:30:00Z</dcterms:created>
  <dcterms:modified xsi:type="dcterms:W3CDTF">2026-10-05T14:32:00Z</dcterms:modified>
</cp:coreProperties>
</file>