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2E90C" w14:textId="6A03FB76" w:rsidR="00262474" w:rsidRPr="000E1174" w:rsidRDefault="00262474" w:rsidP="000D4BA7">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2C4DFC" w:rsidRPr="002C4DFC">
        <w:rPr>
          <w:rFonts w:ascii="Times New Roman" w:hAnsi="Times New Roman" w:cs="Times New Roman"/>
          <w:sz w:val="28"/>
          <w:szCs w:val="28"/>
        </w:rPr>
        <w:t>631.51:636.085</w:t>
      </w:r>
    </w:p>
    <w:p w14:paraId="78636B31" w14:textId="77777777" w:rsidR="00262474" w:rsidRPr="000E1174" w:rsidRDefault="00262474" w:rsidP="000D4BA7">
      <w:pPr>
        <w:spacing w:after="0" w:line="276" w:lineRule="auto"/>
        <w:rPr>
          <w:rFonts w:ascii="Times New Roman" w:hAnsi="Times New Roman" w:cs="Times New Roman"/>
          <w:sz w:val="28"/>
          <w:szCs w:val="28"/>
        </w:rPr>
      </w:pPr>
    </w:p>
    <w:p w14:paraId="19141DFB" w14:textId="678A2171" w:rsidR="00262474" w:rsidRPr="000E1174" w:rsidRDefault="002C4DFC" w:rsidP="000D4BA7">
      <w:pPr>
        <w:spacing w:after="0" w:line="276" w:lineRule="auto"/>
        <w:jc w:val="center"/>
        <w:rPr>
          <w:rFonts w:ascii="Times New Roman" w:hAnsi="Times New Roman" w:cs="Times New Roman"/>
          <w:b/>
          <w:bCs/>
          <w:sz w:val="28"/>
          <w:szCs w:val="28"/>
        </w:rPr>
      </w:pPr>
      <w:r w:rsidRPr="002C4DFC">
        <w:rPr>
          <w:rFonts w:ascii="Times New Roman" w:hAnsi="Times New Roman" w:cs="Times New Roman"/>
          <w:b/>
          <w:bCs/>
          <w:sz w:val="28"/>
          <w:szCs w:val="28"/>
        </w:rPr>
        <w:t>ЯКІСНИЙ ПЕРЕДПОСІВНИЙ ОБРОБІТОК ҐРУНТУ ЯК ОСНОВА ЕФЕКТИВНОГО ВИРОБНИЦТВА КОРМІВ ДЛЯ ТВАРИННИЦЬКОЇ ГАЛУЗІ</w:t>
      </w:r>
    </w:p>
    <w:p w14:paraId="33CEDE4E" w14:textId="77777777" w:rsidR="00262474" w:rsidRDefault="00262474" w:rsidP="000D4BA7">
      <w:pPr>
        <w:spacing w:after="0" w:line="276" w:lineRule="auto"/>
        <w:rPr>
          <w:rFonts w:ascii="Times New Roman" w:hAnsi="Times New Roman" w:cs="Times New Roman"/>
          <w:sz w:val="28"/>
          <w:szCs w:val="28"/>
        </w:rPr>
      </w:pPr>
    </w:p>
    <w:p w14:paraId="2233320D" w14:textId="643A0BEC" w:rsidR="00262474" w:rsidRDefault="00262474" w:rsidP="000D4BA7">
      <w:pPr>
        <w:spacing w:after="0" w:line="276" w:lineRule="auto"/>
        <w:jc w:val="center"/>
        <w:rPr>
          <w:rFonts w:ascii="Times New Roman" w:hAnsi="Times New Roman" w:cs="Times New Roman"/>
          <w:sz w:val="28"/>
          <w:szCs w:val="28"/>
        </w:rPr>
      </w:pPr>
      <w:proofErr w:type="spellStart"/>
      <w:r>
        <w:rPr>
          <w:rFonts w:ascii="Times New Roman" w:hAnsi="Times New Roman" w:cs="Times New Roman"/>
          <w:b/>
          <w:bCs/>
          <w:sz w:val="28"/>
          <w:szCs w:val="28"/>
        </w:rPr>
        <w:t>Міненко</w:t>
      </w:r>
      <w:proofErr w:type="spellEnd"/>
      <w:r>
        <w:rPr>
          <w:rFonts w:ascii="Times New Roman" w:hAnsi="Times New Roman" w:cs="Times New Roman"/>
          <w:b/>
          <w:bCs/>
          <w:sz w:val="28"/>
          <w:szCs w:val="28"/>
        </w:rPr>
        <w:t xml:space="preserve"> С.В.</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r>
        <w:rPr>
          <w:rFonts w:ascii="Times New Roman" w:hAnsi="Times New Roman" w:cs="Times New Roman"/>
          <w:b/>
          <w:bCs/>
          <w:sz w:val="28"/>
          <w:szCs w:val="28"/>
        </w:rPr>
        <w:t>Гетьман В.О.</w:t>
      </w:r>
      <w:r>
        <w:rPr>
          <w:rFonts w:ascii="Times New Roman" w:hAnsi="Times New Roman" w:cs="Times New Roman"/>
          <w:sz w:val="28"/>
          <w:szCs w:val="28"/>
        </w:rPr>
        <w:t xml:space="preserve"> здобувач освіти</w:t>
      </w:r>
    </w:p>
    <w:p w14:paraId="2113DCCA" w14:textId="77777777" w:rsidR="00262474" w:rsidRPr="00FE5E07" w:rsidRDefault="00262474" w:rsidP="000D4BA7">
      <w:pPr>
        <w:spacing w:after="0" w:line="276" w:lineRule="auto"/>
        <w:jc w:val="center"/>
        <w:rPr>
          <w:rFonts w:ascii="Times New Roman" w:hAnsi="Times New Roman" w:cs="Times New Roman"/>
          <w:i/>
          <w:iCs/>
          <w:sz w:val="28"/>
          <w:szCs w:val="28"/>
        </w:rPr>
      </w:pPr>
      <w:r w:rsidRPr="00FE5E07">
        <w:rPr>
          <w:rFonts w:ascii="Times New Roman" w:hAnsi="Times New Roman" w:cs="Times New Roman"/>
          <w:i/>
          <w:iCs/>
          <w:sz w:val="28"/>
          <w:szCs w:val="28"/>
        </w:rPr>
        <w:t>Поліський національний університет, м. Житомир</w:t>
      </w:r>
    </w:p>
    <w:p w14:paraId="711A9E32" w14:textId="77777777" w:rsidR="002C4DFC" w:rsidRDefault="002C4DFC" w:rsidP="000D4BA7">
      <w:pPr>
        <w:spacing w:after="0" w:line="276" w:lineRule="auto"/>
        <w:jc w:val="center"/>
        <w:rPr>
          <w:rFonts w:ascii="Times New Roman" w:hAnsi="Times New Roman" w:cs="Times New Roman"/>
          <w:sz w:val="28"/>
          <w:szCs w:val="28"/>
        </w:rPr>
      </w:pPr>
    </w:p>
    <w:p w14:paraId="5D71F4C4"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 xml:space="preserve">Ефективне функціонування тваринницької галузі значною мірою залежить від стабільності кормової бази, кількості та якості кормів рослинного походження. Важливе місце у структурі </w:t>
      </w:r>
      <w:proofErr w:type="spellStart"/>
      <w:r w:rsidRPr="002C4DFC">
        <w:rPr>
          <w:rFonts w:ascii="Times New Roman" w:hAnsi="Times New Roman" w:cs="Times New Roman"/>
          <w:sz w:val="28"/>
          <w:szCs w:val="28"/>
        </w:rPr>
        <w:t>кормовиробництва</w:t>
      </w:r>
      <w:proofErr w:type="spellEnd"/>
      <w:r w:rsidRPr="002C4DFC">
        <w:rPr>
          <w:rFonts w:ascii="Times New Roman" w:hAnsi="Times New Roman" w:cs="Times New Roman"/>
          <w:sz w:val="28"/>
          <w:szCs w:val="28"/>
        </w:rPr>
        <w:t xml:space="preserve"> займають кукурудза на силос і зелений корм, багаторічні та однорічні трави, зернофуражні культури, кормові коренеплоди та інші культури. Реалізація їхнього генетичного потенціалу продуктивності визначається не лише сортовими особливостями, удобренням і погодними умовами, а й якістю виконання технологічних операцій, зокрема передпосівного обробітку ґрунту.</w:t>
      </w:r>
    </w:p>
    <w:p w14:paraId="4CE1995A"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Передпосівний обробіток є завершальною технологічною операцією підготовки ґрунту до сівби. Його основне завдання полягає у формуванні такого стану посівного шару, який забезпечує сприятливі водний, повітряний і тепловий режими, оптимальні умови для загортання насіння, його контакту з ґрунтом, проростання та подальшого розвитку кореневої системи рослин [1, 2]. Дослідження показують, що фізичний стан посівного шару, зокрема його щільність, вологість, структурно-агрегатний склад та опір проникненню коренів, безпосередньо пов'язаний із рівномірністю формування сходів [2].</w:t>
      </w:r>
    </w:p>
    <w:p w14:paraId="707B2232"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 xml:space="preserve">Особливого значення якість підготовки ґрунту набуває під час вирощування дрібнонасінних кормових культур, насамперед багаторічних бобових і злакових трав. Для їх успішного проростання необхідний достатньо щільний, вирівняний і </w:t>
      </w:r>
      <w:proofErr w:type="spellStart"/>
      <w:r w:rsidRPr="002C4DFC">
        <w:rPr>
          <w:rFonts w:ascii="Times New Roman" w:hAnsi="Times New Roman" w:cs="Times New Roman"/>
          <w:sz w:val="28"/>
          <w:szCs w:val="28"/>
        </w:rPr>
        <w:t>дрібногрудкуватий</w:t>
      </w:r>
      <w:proofErr w:type="spellEnd"/>
      <w:r w:rsidRPr="002C4DFC">
        <w:rPr>
          <w:rFonts w:ascii="Times New Roman" w:hAnsi="Times New Roman" w:cs="Times New Roman"/>
          <w:sz w:val="28"/>
          <w:szCs w:val="28"/>
        </w:rPr>
        <w:t xml:space="preserve"> посівний шар, який забезпечує належний контакт насіння з ґрунтом. Надмірно розпушений ґрунт може спричинити загортання насіння на надмірну глибину, тоді як значна кількість великих грудок погіршує рівномірність його розподілу та надходження вологи. Тому формування оптимального насіннєвого ложа є важливою передумовою одержання дружних і рівномірних сходів кормових культур [3].</w:t>
      </w:r>
    </w:p>
    <w:p w14:paraId="44BBFCA3" w14:textId="035B08C0"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 xml:space="preserve">Якісний передпосівний обробіток повинен забезпечувати вирівнювання поверхні поля, розпушення ґрунту на задану глибину, руйнування ґрунтової кірки, знищення проростків бур'янів, подрібнення грудок та одночасне створення ущільненого насіннєвого ложа. При цьому необхідно максимально зберігати вологу у верхньому шарі ґрунту. За рекомендаціями НААН України, </w:t>
      </w:r>
      <w:r w:rsidRPr="002C4DFC">
        <w:rPr>
          <w:rFonts w:ascii="Times New Roman" w:hAnsi="Times New Roman" w:cs="Times New Roman"/>
          <w:sz w:val="28"/>
          <w:szCs w:val="28"/>
        </w:rPr>
        <w:lastRenderedPageBreak/>
        <w:t xml:space="preserve">передпосівний обробіток має проводитися переважно на глибину загортання насіння, а застосування комбінованих агрегатів дає змогу забезпечити </w:t>
      </w:r>
      <w:proofErr w:type="spellStart"/>
      <w:r w:rsidRPr="002C4DFC">
        <w:rPr>
          <w:rFonts w:ascii="Times New Roman" w:hAnsi="Times New Roman" w:cs="Times New Roman"/>
          <w:sz w:val="28"/>
          <w:szCs w:val="28"/>
        </w:rPr>
        <w:t>вирівняність</w:t>
      </w:r>
      <w:proofErr w:type="spellEnd"/>
      <w:r w:rsidRPr="002C4DFC">
        <w:rPr>
          <w:rFonts w:ascii="Times New Roman" w:hAnsi="Times New Roman" w:cs="Times New Roman"/>
          <w:sz w:val="28"/>
          <w:szCs w:val="28"/>
        </w:rPr>
        <w:t xml:space="preserve"> поля, необхідний </w:t>
      </w:r>
      <w:proofErr w:type="spellStart"/>
      <w:r w:rsidRPr="002C4DFC">
        <w:rPr>
          <w:rFonts w:ascii="Times New Roman" w:hAnsi="Times New Roman" w:cs="Times New Roman"/>
          <w:sz w:val="28"/>
          <w:szCs w:val="28"/>
        </w:rPr>
        <w:t>дрібногрудкуватий</w:t>
      </w:r>
      <w:proofErr w:type="spellEnd"/>
      <w:r w:rsidRPr="002C4DFC">
        <w:rPr>
          <w:rFonts w:ascii="Times New Roman" w:hAnsi="Times New Roman" w:cs="Times New Roman"/>
          <w:sz w:val="28"/>
          <w:szCs w:val="28"/>
        </w:rPr>
        <w:t xml:space="preserve"> стан ґрунту та рівномірність глибини обробітку [4].</w:t>
      </w:r>
      <w:r>
        <w:rPr>
          <w:rFonts w:ascii="Times New Roman" w:hAnsi="Times New Roman" w:cs="Times New Roman"/>
          <w:sz w:val="28"/>
          <w:szCs w:val="28"/>
        </w:rPr>
        <w:t xml:space="preserve"> </w:t>
      </w:r>
      <w:r w:rsidRPr="002C4DFC">
        <w:rPr>
          <w:rFonts w:ascii="Times New Roman" w:hAnsi="Times New Roman" w:cs="Times New Roman"/>
          <w:sz w:val="28"/>
          <w:szCs w:val="28"/>
        </w:rPr>
        <w:t>Одним із визначальних показників якості посівного шару є його структурно-агрегатний склад. Надмірне подрібнення ґрунту є небажаним, оскільки може підвищувати небезпеку утворення ґрунтової кірки, вітрової та водної ерозії. Водночас значна частка великих грудок погіршує роботу посівних машин і створює нерівномірні умови проростання насіння. У рекомендаціях FAO зазначається, що сприятливі умови для насіння формуються тоді, коли навколо нього знаходяться відносно однорідні ґрунтові агрегати, що забезпечують необхідний контакт насіння з вологою та водночас достатню аерацію [5].</w:t>
      </w:r>
    </w:p>
    <w:p w14:paraId="426FCCC9"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 xml:space="preserve">Важливим завданням передпосівного обробітку є збереження продуктивної вологи. Особливо актуальним це є в умовах нестійкого зволоження, підвищення середніх температур та збільшення частоти весняних і літніх </w:t>
      </w:r>
      <w:proofErr w:type="spellStart"/>
      <w:r w:rsidRPr="002C4DFC">
        <w:rPr>
          <w:rFonts w:ascii="Times New Roman" w:hAnsi="Times New Roman" w:cs="Times New Roman"/>
          <w:sz w:val="28"/>
          <w:szCs w:val="28"/>
        </w:rPr>
        <w:t>посух</w:t>
      </w:r>
      <w:proofErr w:type="spellEnd"/>
      <w:r w:rsidRPr="002C4DFC">
        <w:rPr>
          <w:rFonts w:ascii="Times New Roman" w:hAnsi="Times New Roman" w:cs="Times New Roman"/>
          <w:sz w:val="28"/>
          <w:szCs w:val="28"/>
        </w:rPr>
        <w:t>. Надмірна кількість проходів машинно-тракторних агрегатів сприяє пересиханню верхнього шару ґрунту та додатковому його ущільненню. Затримка між передпосівним обробітком і сівбою також може призводити до втрати вологи, що негативно впливає на польову схожість насіння. Тому доцільним є мінімізація часу між підготовкою ґрунту та сівбою, а в окремих технологіях — суміщення цих операцій.</w:t>
      </w:r>
    </w:p>
    <w:p w14:paraId="4486B05E"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Сучасний напрям удосконалення технологій передпосівної підготовки полягає у використанні комбінованих ґрунтообробних агрегатів. За один прохід такі машини можуть виконувати декілька технологічних операцій: розпушення, вирівнювання поверхні, подрібнення грудок, ущільнення насіннєвого ложа та остаточне формування посівного шару. Це дає змогу скоротити кількість проходів техніки по полю, зменшити ущільнення ґрунту, непродуктивні втрати вологи, витрати пального та тривалість виконання технологічних операцій. У рекомендаціях щодо проведення польових робіт зазначено, що поєднання окремих технологічних операцій здатне істотно підвищувати продуктивність агрегатів і знижувати витрати пального порівняно з їх роздільним виконанням [6].</w:t>
      </w:r>
    </w:p>
    <w:p w14:paraId="7F7C51B8"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Водночас підвищення інтенсивності обробітку не завжди означає покращення умов для проростання насіння. Результати досліджень свідчать, що різні системи обробітку по-різному впливають на контакт насіння з ґрунтом, а надмірно інтенсивний обробіток не обов'язково забезпечує оптимальний стан посівного шару [7]. Тому вибір технології та комплексу машин повинен здійснюватися з урахуванням типу ґрунту, його вологості й щільності, попередника, культури, розміру насіння та погодних умов конкретного року.</w:t>
      </w:r>
    </w:p>
    <w:p w14:paraId="4D65A559"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lastRenderedPageBreak/>
        <w:t xml:space="preserve">Особливо важливо враховувати особливості конкретної кормової культури. Наприклад, під кормові коренеплоди необхідно забезпечити добре вирівняний, </w:t>
      </w:r>
      <w:proofErr w:type="spellStart"/>
      <w:r w:rsidRPr="002C4DFC">
        <w:rPr>
          <w:rFonts w:ascii="Times New Roman" w:hAnsi="Times New Roman" w:cs="Times New Roman"/>
          <w:sz w:val="28"/>
          <w:szCs w:val="28"/>
        </w:rPr>
        <w:t>дрібногрудкуватий</w:t>
      </w:r>
      <w:proofErr w:type="spellEnd"/>
      <w:r w:rsidRPr="002C4DFC">
        <w:rPr>
          <w:rFonts w:ascii="Times New Roman" w:hAnsi="Times New Roman" w:cs="Times New Roman"/>
          <w:sz w:val="28"/>
          <w:szCs w:val="28"/>
        </w:rPr>
        <w:t xml:space="preserve"> посівний шар та однорідну глибину обробітку. Для зернофуражних культур основне значення мають рівномірність загортання насіння та збереження вологи. Для багаторічних трав важливим є формування щільного насіннєвого ложа, оскільки дрібне насіння таких культур особливо чутливе до надмірної глибини загортання [3, 4].</w:t>
      </w:r>
    </w:p>
    <w:p w14:paraId="42677A5F"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Від рівномірності польових сходів значною мірою залежить подальше формування посіву. Рослини, які з'являються одночасно, знаходяться у більш рівних умовах використання вологи, поживних речовин і сонячної енергії. Нерівномірні сходи спричиняють диференціацію рослин за темпами росту та розвитку, що може негативно впливати на врожайність і технологічну якість зеленої маси. Саме тому підготовку ґрунту до сівби слід розглядати не як ізольовану механічну операцію, а як складову цілісної системи управління продуктивністю кормових агроценозів.</w:t>
      </w:r>
    </w:p>
    <w:p w14:paraId="064704BA"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 xml:space="preserve">Ефективне виробництво кормів передбачає не лише одержання максимальної кількості зеленої маси або зерна, але й зниження їх собівартості. Частка витрат, пов'язаних із виконанням механізованих операцій, залишається суттєвою складовою технологічного процесу. Тому застосування </w:t>
      </w:r>
      <w:proofErr w:type="spellStart"/>
      <w:r w:rsidRPr="002C4DFC">
        <w:rPr>
          <w:rFonts w:ascii="Times New Roman" w:hAnsi="Times New Roman" w:cs="Times New Roman"/>
          <w:sz w:val="28"/>
          <w:szCs w:val="28"/>
        </w:rPr>
        <w:t>ресурсоощадних</w:t>
      </w:r>
      <w:proofErr w:type="spellEnd"/>
      <w:r w:rsidRPr="002C4DFC">
        <w:rPr>
          <w:rFonts w:ascii="Times New Roman" w:hAnsi="Times New Roman" w:cs="Times New Roman"/>
          <w:sz w:val="28"/>
          <w:szCs w:val="28"/>
        </w:rPr>
        <w:t xml:space="preserve"> способів обробітку, широкозахватних і комбінованих агрегатів, систем точного землеробства та сучасних засобів контролю глибини обробітку може стати важливим резервом підвищення економічної ефективності </w:t>
      </w:r>
      <w:proofErr w:type="spellStart"/>
      <w:r w:rsidRPr="002C4DFC">
        <w:rPr>
          <w:rFonts w:ascii="Times New Roman" w:hAnsi="Times New Roman" w:cs="Times New Roman"/>
          <w:sz w:val="28"/>
          <w:szCs w:val="28"/>
        </w:rPr>
        <w:t>кормовиробництва</w:t>
      </w:r>
      <w:proofErr w:type="spellEnd"/>
      <w:r w:rsidRPr="002C4DFC">
        <w:rPr>
          <w:rFonts w:ascii="Times New Roman" w:hAnsi="Times New Roman" w:cs="Times New Roman"/>
          <w:sz w:val="28"/>
          <w:szCs w:val="28"/>
        </w:rPr>
        <w:t>.</w:t>
      </w:r>
    </w:p>
    <w:p w14:paraId="55D2CEDA" w14:textId="77777777" w:rsidR="002C4DFC" w:rsidRPr="002C4DFC" w:rsidRDefault="002C4DFC" w:rsidP="000D4BA7">
      <w:pPr>
        <w:spacing w:after="0" w:line="276" w:lineRule="auto"/>
        <w:ind w:firstLine="709"/>
        <w:jc w:val="both"/>
        <w:rPr>
          <w:rFonts w:ascii="Times New Roman" w:hAnsi="Times New Roman" w:cs="Times New Roman"/>
          <w:sz w:val="28"/>
          <w:szCs w:val="28"/>
        </w:rPr>
      </w:pPr>
      <w:r w:rsidRPr="002C4DFC">
        <w:rPr>
          <w:rFonts w:ascii="Times New Roman" w:hAnsi="Times New Roman" w:cs="Times New Roman"/>
          <w:sz w:val="28"/>
          <w:szCs w:val="28"/>
        </w:rPr>
        <w:t xml:space="preserve">Отже, якісний передпосівний обробіток ґрунту є однією з основних передумов формування високопродуктивних посівів кормових культур та створення стабільної кормової бази тваринницької галузі. Його виконання повинно забезпечувати оптимальний структурно-агрегатний склад посівного шару, збереження ґрунтової вологи, рівномірну глибину загортання насіння, належний контакт насіння з ґрунтом і мінімальне ущільнення поля. Перспективним напрямом подальшого вдосконалення технологій є застосування комбінованих агрегатів та </w:t>
      </w:r>
      <w:proofErr w:type="spellStart"/>
      <w:r w:rsidRPr="002C4DFC">
        <w:rPr>
          <w:rFonts w:ascii="Times New Roman" w:hAnsi="Times New Roman" w:cs="Times New Roman"/>
          <w:sz w:val="28"/>
          <w:szCs w:val="28"/>
        </w:rPr>
        <w:t>ресурсоощадних</w:t>
      </w:r>
      <w:proofErr w:type="spellEnd"/>
      <w:r w:rsidRPr="002C4DFC">
        <w:rPr>
          <w:rFonts w:ascii="Times New Roman" w:hAnsi="Times New Roman" w:cs="Times New Roman"/>
          <w:sz w:val="28"/>
          <w:szCs w:val="28"/>
        </w:rPr>
        <w:t xml:space="preserve"> систем обробітку, адаптованих до конкретних ґрунтово-кліматичних умов і біологічних особливостей кормових культур.</w:t>
      </w:r>
    </w:p>
    <w:p w14:paraId="1356544B" w14:textId="77777777" w:rsidR="002C4DFC" w:rsidRPr="002C4DFC" w:rsidRDefault="002C4DFC" w:rsidP="000D4BA7">
      <w:pPr>
        <w:spacing w:after="0" w:line="276" w:lineRule="auto"/>
        <w:ind w:firstLine="709"/>
        <w:jc w:val="both"/>
        <w:rPr>
          <w:rFonts w:ascii="Times New Roman" w:hAnsi="Times New Roman" w:cs="Times New Roman"/>
          <w:sz w:val="28"/>
          <w:szCs w:val="28"/>
        </w:rPr>
      </w:pPr>
    </w:p>
    <w:p w14:paraId="71EC8594" w14:textId="77777777" w:rsidR="002C4DFC" w:rsidRPr="002C4DFC" w:rsidRDefault="002C4DFC" w:rsidP="000D4BA7">
      <w:pPr>
        <w:spacing w:after="0" w:line="276" w:lineRule="auto"/>
        <w:jc w:val="center"/>
        <w:rPr>
          <w:rFonts w:ascii="Times New Roman" w:hAnsi="Times New Roman" w:cs="Times New Roman"/>
          <w:b/>
          <w:bCs/>
          <w:sz w:val="28"/>
          <w:szCs w:val="28"/>
        </w:rPr>
      </w:pPr>
      <w:r w:rsidRPr="002C4DFC">
        <w:rPr>
          <w:rFonts w:ascii="Times New Roman" w:hAnsi="Times New Roman" w:cs="Times New Roman"/>
          <w:b/>
          <w:bCs/>
          <w:sz w:val="28"/>
          <w:szCs w:val="28"/>
        </w:rPr>
        <w:t>Список використаних джерел</w:t>
      </w:r>
    </w:p>
    <w:p w14:paraId="2E92DD33" w14:textId="77777777" w:rsidR="002C4DFC" w:rsidRP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C4DFC">
        <w:rPr>
          <w:rFonts w:ascii="Times New Roman" w:hAnsi="Times New Roman" w:cs="Times New Roman"/>
          <w:sz w:val="28"/>
          <w:szCs w:val="28"/>
        </w:rPr>
        <w:t>Guérif</w:t>
      </w:r>
      <w:proofErr w:type="spellEnd"/>
      <w:r w:rsidRPr="002C4DFC">
        <w:rPr>
          <w:rFonts w:ascii="Times New Roman" w:hAnsi="Times New Roman" w:cs="Times New Roman"/>
          <w:sz w:val="28"/>
          <w:szCs w:val="28"/>
        </w:rPr>
        <w:t xml:space="preserve"> J., </w:t>
      </w:r>
      <w:proofErr w:type="spellStart"/>
      <w:r w:rsidRPr="002C4DFC">
        <w:rPr>
          <w:rFonts w:ascii="Times New Roman" w:hAnsi="Times New Roman" w:cs="Times New Roman"/>
          <w:sz w:val="28"/>
          <w:szCs w:val="28"/>
        </w:rPr>
        <w:t>Richard</w:t>
      </w:r>
      <w:proofErr w:type="spellEnd"/>
      <w:r w:rsidRPr="002C4DFC">
        <w:rPr>
          <w:rFonts w:ascii="Times New Roman" w:hAnsi="Times New Roman" w:cs="Times New Roman"/>
          <w:sz w:val="28"/>
          <w:szCs w:val="28"/>
        </w:rPr>
        <w:t xml:space="preserve"> G., </w:t>
      </w:r>
      <w:proofErr w:type="spellStart"/>
      <w:r w:rsidRPr="002C4DFC">
        <w:rPr>
          <w:rFonts w:ascii="Times New Roman" w:hAnsi="Times New Roman" w:cs="Times New Roman"/>
          <w:sz w:val="28"/>
          <w:szCs w:val="28"/>
        </w:rPr>
        <w:t>Dürr</w:t>
      </w:r>
      <w:proofErr w:type="spellEnd"/>
      <w:r w:rsidRPr="002C4DFC">
        <w:rPr>
          <w:rFonts w:ascii="Times New Roman" w:hAnsi="Times New Roman" w:cs="Times New Roman"/>
          <w:sz w:val="28"/>
          <w:szCs w:val="28"/>
        </w:rPr>
        <w:t xml:space="preserve"> C., </w:t>
      </w:r>
      <w:proofErr w:type="spellStart"/>
      <w:r w:rsidRPr="002C4DFC">
        <w:rPr>
          <w:rFonts w:ascii="Times New Roman" w:hAnsi="Times New Roman" w:cs="Times New Roman"/>
          <w:sz w:val="28"/>
          <w:szCs w:val="28"/>
        </w:rPr>
        <w:t>Machet</w:t>
      </w:r>
      <w:proofErr w:type="spellEnd"/>
      <w:r w:rsidRPr="002C4DFC">
        <w:rPr>
          <w:rFonts w:ascii="Times New Roman" w:hAnsi="Times New Roman" w:cs="Times New Roman"/>
          <w:sz w:val="28"/>
          <w:szCs w:val="28"/>
        </w:rPr>
        <w:t xml:space="preserve"> J. M., </w:t>
      </w:r>
      <w:proofErr w:type="spellStart"/>
      <w:r w:rsidRPr="002C4DFC">
        <w:rPr>
          <w:rFonts w:ascii="Times New Roman" w:hAnsi="Times New Roman" w:cs="Times New Roman"/>
          <w:sz w:val="28"/>
          <w:szCs w:val="28"/>
        </w:rPr>
        <w:t>Recous</w:t>
      </w:r>
      <w:proofErr w:type="spellEnd"/>
      <w:r w:rsidRPr="002C4DFC">
        <w:rPr>
          <w:rFonts w:ascii="Times New Roman" w:hAnsi="Times New Roman" w:cs="Times New Roman"/>
          <w:sz w:val="28"/>
          <w:szCs w:val="28"/>
        </w:rPr>
        <w:t xml:space="preserve"> S., </w:t>
      </w:r>
      <w:proofErr w:type="spellStart"/>
      <w:r w:rsidRPr="002C4DFC">
        <w:rPr>
          <w:rFonts w:ascii="Times New Roman" w:hAnsi="Times New Roman" w:cs="Times New Roman"/>
          <w:sz w:val="28"/>
          <w:szCs w:val="28"/>
        </w:rPr>
        <w:t>Roger-Estrade</w:t>
      </w:r>
      <w:proofErr w:type="spellEnd"/>
      <w:r w:rsidRPr="002C4DFC">
        <w:rPr>
          <w:rFonts w:ascii="Times New Roman" w:hAnsi="Times New Roman" w:cs="Times New Roman"/>
          <w:sz w:val="28"/>
          <w:szCs w:val="28"/>
        </w:rPr>
        <w:t xml:space="preserve"> J. A </w:t>
      </w:r>
      <w:proofErr w:type="spellStart"/>
      <w:r w:rsidRPr="002C4DFC">
        <w:rPr>
          <w:rFonts w:ascii="Times New Roman" w:hAnsi="Times New Roman" w:cs="Times New Roman"/>
          <w:sz w:val="28"/>
          <w:szCs w:val="28"/>
        </w:rPr>
        <w:t>review</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of</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tillage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effects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on</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crop</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residue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management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seedbed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conditions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and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seedling</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establishment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Soil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and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Tillage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Research</w:t>
      </w:r>
      <w:proofErr w:type="spellEnd"/>
      <w:r w:rsidRPr="002C4DFC">
        <w:rPr>
          <w:rFonts w:ascii="Times New Roman" w:hAnsi="Times New Roman" w:cs="Times New Roman"/>
          <w:sz w:val="28"/>
          <w:szCs w:val="28"/>
        </w:rPr>
        <w:t xml:space="preserve">. 2001. </w:t>
      </w:r>
      <w:proofErr w:type="spellStart"/>
      <w:r w:rsidRPr="002C4DFC">
        <w:rPr>
          <w:rFonts w:ascii="Times New Roman" w:hAnsi="Times New Roman" w:cs="Times New Roman"/>
          <w:sz w:val="28"/>
          <w:szCs w:val="28"/>
        </w:rPr>
        <w:t>Vol</w:t>
      </w:r>
      <w:proofErr w:type="spellEnd"/>
      <w:r w:rsidRPr="002C4DFC">
        <w:rPr>
          <w:rFonts w:ascii="Times New Roman" w:hAnsi="Times New Roman" w:cs="Times New Roman"/>
          <w:sz w:val="28"/>
          <w:szCs w:val="28"/>
        </w:rPr>
        <w:t>. 61, № 1–2. P. 13–32. DOI: 10.1016/S0167-1987(01)00187-8.</w:t>
      </w:r>
    </w:p>
    <w:p w14:paraId="5B57E53D" w14:textId="77777777" w:rsidR="002C4DFC" w:rsidRP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C4DFC">
        <w:rPr>
          <w:rFonts w:ascii="Times New Roman" w:hAnsi="Times New Roman" w:cs="Times New Roman"/>
          <w:sz w:val="28"/>
          <w:szCs w:val="28"/>
        </w:rPr>
        <w:lastRenderedPageBreak/>
        <w:t>Atkinson</w:t>
      </w:r>
      <w:proofErr w:type="spellEnd"/>
      <w:r w:rsidRPr="002C4DFC">
        <w:rPr>
          <w:rFonts w:ascii="Times New Roman" w:hAnsi="Times New Roman" w:cs="Times New Roman"/>
          <w:sz w:val="28"/>
          <w:szCs w:val="28"/>
        </w:rPr>
        <w:t xml:space="preserve"> B. S., </w:t>
      </w:r>
      <w:proofErr w:type="spellStart"/>
      <w:r w:rsidRPr="002C4DFC">
        <w:rPr>
          <w:rFonts w:ascii="Times New Roman" w:hAnsi="Times New Roman" w:cs="Times New Roman"/>
          <w:sz w:val="28"/>
          <w:szCs w:val="28"/>
        </w:rPr>
        <w:t>Sparkes</w:t>
      </w:r>
      <w:proofErr w:type="spellEnd"/>
      <w:r w:rsidRPr="002C4DFC">
        <w:rPr>
          <w:rFonts w:ascii="Times New Roman" w:hAnsi="Times New Roman" w:cs="Times New Roman"/>
          <w:sz w:val="28"/>
          <w:szCs w:val="28"/>
        </w:rPr>
        <w:t xml:space="preserve"> D. L., </w:t>
      </w:r>
      <w:proofErr w:type="spellStart"/>
      <w:r w:rsidRPr="002C4DFC">
        <w:rPr>
          <w:rFonts w:ascii="Times New Roman" w:hAnsi="Times New Roman" w:cs="Times New Roman"/>
          <w:sz w:val="28"/>
          <w:szCs w:val="28"/>
        </w:rPr>
        <w:t>Mooney</w:t>
      </w:r>
      <w:proofErr w:type="spellEnd"/>
      <w:r w:rsidRPr="002C4DFC">
        <w:rPr>
          <w:rFonts w:ascii="Times New Roman" w:hAnsi="Times New Roman" w:cs="Times New Roman"/>
          <w:sz w:val="28"/>
          <w:szCs w:val="28"/>
        </w:rPr>
        <w:t xml:space="preserve"> S. J. </w:t>
      </w:r>
      <w:proofErr w:type="spellStart"/>
      <w:r w:rsidRPr="002C4DFC">
        <w:rPr>
          <w:rFonts w:ascii="Times New Roman" w:hAnsi="Times New Roman" w:cs="Times New Roman"/>
          <w:sz w:val="28"/>
          <w:szCs w:val="28"/>
        </w:rPr>
        <w:t>Using</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selected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soil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physical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properties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of</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seedbeds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to</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predict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crop</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establishment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Soil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and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Tillage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Research</w:t>
      </w:r>
      <w:proofErr w:type="spellEnd"/>
      <w:r w:rsidRPr="002C4DFC">
        <w:rPr>
          <w:rFonts w:ascii="Times New Roman" w:hAnsi="Times New Roman" w:cs="Times New Roman"/>
          <w:sz w:val="28"/>
          <w:szCs w:val="28"/>
        </w:rPr>
        <w:t xml:space="preserve">. 2007. </w:t>
      </w:r>
      <w:proofErr w:type="spellStart"/>
      <w:r w:rsidRPr="002C4DFC">
        <w:rPr>
          <w:rFonts w:ascii="Times New Roman" w:hAnsi="Times New Roman" w:cs="Times New Roman"/>
          <w:sz w:val="28"/>
          <w:szCs w:val="28"/>
        </w:rPr>
        <w:t>Vol</w:t>
      </w:r>
      <w:proofErr w:type="spellEnd"/>
      <w:r w:rsidRPr="002C4DFC">
        <w:rPr>
          <w:rFonts w:ascii="Times New Roman" w:hAnsi="Times New Roman" w:cs="Times New Roman"/>
          <w:sz w:val="28"/>
          <w:szCs w:val="28"/>
        </w:rPr>
        <w:t>. 97, № 2. P. 218–228. DOI: 10.1016/j.still.2007.09.017.</w:t>
      </w:r>
    </w:p>
    <w:p w14:paraId="2FD721E2" w14:textId="77777777" w:rsidR="002C4DFC" w:rsidRP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C4DFC">
        <w:rPr>
          <w:rFonts w:ascii="Times New Roman" w:hAnsi="Times New Roman" w:cs="Times New Roman"/>
          <w:sz w:val="28"/>
          <w:szCs w:val="28"/>
        </w:rPr>
        <w:t>Horrocks</w:t>
      </w:r>
      <w:proofErr w:type="spellEnd"/>
      <w:r w:rsidRPr="002C4DFC">
        <w:rPr>
          <w:rFonts w:ascii="Times New Roman" w:hAnsi="Times New Roman" w:cs="Times New Roman"/>
          <w:sz w:val="28"/>
          <w:szCs w:val="28"/>
        </w:rPr>
        <w:t xml:space="preserve"> R. D., </w:t>
      </w:r>
      <w:proofErr w:type="spellStart"/>
      <w:r w:rsidRPr="002C4DFC">
        <w:rPr>
          <w:rFonts w:ascii="Times New Roman" w:hAnsi="Times New Roman" w:cs="Times New Roman"/>
          <w:sz w:val="28"/>
          <w:szCs w:val="28"/>
        </w:rPr>
        <w:t>Vallentine</w:t>
      </w:r>
      <w:proofErr w:type="spellEnd"/>
      <w:r w:rsidRPr="002C4DFC">
        <w:rPr>
          <w:rFonts w:ascii="Times New Roman" w:hAnsi="Times New Roman" w:cs="Times New Roman"/>
          <w:sz w:val="28"/>
          <w:szCs w:val="28"/>
        </w:rPr>
        <w:t xml:space="preserve"> J. F. </w:t>
      </w:r>
      <w:proofErr w:type="spellStart"/>
      <w:r w:rsidRPr="002C4DFC">
        <w:rPr>
          <w:rFonts w:ascii="Times New Roman" w:hAnsi="Times New Roman" w:cs="Times New Roman"/>
          <w:sz w:val="28"/>
          <w:szCs w:val="28"/>
        </w:rPr>
        <w:t>Harvested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Forages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San</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Diego</w:t>
      </w:r>
      <w:proofErr w:type="spellEnd"/>
      <w:r w:rsidRPr="002C4DFC">
        <w:rPr>
          <w:rFonts w:ascii="Times New Roman" w:hAnsi="Times New Roman" w:cs="Times New Roman"/>
          <w:sz w:val="28"/>
          <w:szCs w:val="28"/>
        </w:rPr>
        <w:t xml:space="preserve"> : </w:t>
      </w:r>
      <w:proofErr w:type="spellStart"/>
      <w:r w:rsidRPr="002C4DFC">
        <w:rPr>
          <w:rFonts w:ascii="Times New Roman" w:hAnsi="Times New Roman" w:cs="Times New Roman"/>
          <w:sz w:val="28"/>
          <w:szCs w:val="28"/>
        </w:rPr>
        <w:t>Academic</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Press</w:t>
      </w:r>
      <w:proofErr w:type="spellEnd"/>
      <w:r w:rsidRPr="002C4DFC">
        <w:rPr>
          <w:rFonts w:ascii="Times New Roman" w:hAnsi="Times New Roman" w:cs="Times New Roman"/>
          <w:sz w:val="28"/>
          <w:szCs w:val="28"/>
        </w:rPr>
        <w:t>, 1999. 426 p.</w:t>
      </w:r>
    </w:p>
    <w:p w14:paraId="6D206D24" w14:textId="77777777" w:rsidR="002C4DFC" w:rsidRP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2C4DFC">
        <w:rPr>
          <w:rFonts w:ascii="Times New Roman" w:hAnsi="Times New Roman" w:cs="Times New Roman"/>
          <w:sz w:val="28"/>
          <w:szCs w:val="28"/>
        </w:rPr>
        <w:t>Кормові буряки: особливості технології вирощування та передпосівного обробітку ґрунту / Національна академія аграрних наук України. URL: https://naas.gov.ua/newsall/newsnaan/?ELEMENT_ID=6371 (дата звернення: 02.10.2026).</w:t>
      </w:r>
    </w:p>
    <w:p w14:paraId="1D5CA5C9" w14:textId="77777777" w:rsidR="002C4DFC" w:rsidRP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C4DFC">
        <w:rPr>
          <w:rFonts w:ascii="Times New Roman" w:hAnsi="Times New Roman" w:cs="Times New Roman"/>
          <w:sz w:val="28"/>
          <w:szCs w:val="28"/>
        </w:rPr>
        <w:t>Soil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management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Tillage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practices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for</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seedbed-rootbed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preparation</w:t>
      </w:r>
      <w:proofErr w:type="spellEnd"/>
      <w:r w:rsidRPr="002C4DFC">
        <w:rPr>
          <w:rFonts w:ascii="Times New Roman" w:hAnsi="Times New Roman" w:cs="Times New Roman"/>
          <w:sz w:val="28"/>
          <w:szCs w:val="28"/>
        </w:rPr>
        <w:t xml:space="preserve"> / </w:t>
      </w:r>
      <w:proofErr w:type="spellStart"/>
      <w:r w:rsidRPr="002C4DFC">
        <w:rPr>
          <w:rFonts w:ascii="Times New Roman" w:hAnsi="Times New Roman" w:cs="Times New Roman"/>
          <w:sz w:val="28"/>
          <w:szCs w:val="28"/>
        </w:rPr>
        <w:t>Food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and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Agriculture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Organization</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of</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the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United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Nations</w:t>
      </w:r>
      <w:proofErr w:type="spellEnd"/>
      <w:r w:rsidRPr="002C4DFC">
        <w:rPr>
          <w:rFonts w:ascii="Times New Roman" w:hAnsi="Times New Roman" w:cs="Times New Roman"/>
          <w:sz w:val="28"/>
          <w:szCs w:val="28"/>
        </w:rPr>
        <w:t>. URL: https://www.fao.org/4/x5867e/x5867e05.htm (дата звернення: 02.10.2026).</w:t>
      </w:r>
    </w:p>
    <w:p w14:paraId="6E1FD03B" w14:textId="77777777" w:rsid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2C4DFC">
        <w:rPr>
          <w:rFonts w:ascii="Times New Roman" w:hAnsi="Times New Roman" w:cs="Times New Roman"/>
          <w:sz w:val="28"/>
          <w:szCs w:val="28"/>
        </w:rPr>
        <w:t>Рекомендації щодо проведення весняно-польових робіт в умовах 2022 року. URL: https://vin.gov.ua/dep-apr/rekomendatsii/48807-rekomendatsiyi-shchodo-provedennya-vesnyano-polovykh-robit-v-umovakh-2022-roku (дата звернення: 02.10.2026).</w:t>
      </w:r>
    </w:p>
    <w:p w14:paraId="53478509" w14:textId="3F640F82" w:rsidR="0042298E" w:rsidRPr="002C4DFC" w:rsidRDefault="002C4DFC" w:rsidP="000D4BA7">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2C4DFC">
        <w:rPr>
          <w:rFonts w:ascii="Times New Roman" w:hAnsi="Times New Roman" w:cs="Times New Roman"/>
          <w:sz w:val="28"/>
          <w:szCs w:val="28"/>
        </w:rPr>
        <w:t>Blunk</w:t>
      </w:r>
      <w:proofErr w:type="spellEnd"/>
      <w:r w:rsidRPr="002C4DFC">
        <w:rPr>
          <w:rFonts w:ascii="Times New Roman" w:hAnsi="Times New Roman" w:cs="Times New Roman"/>
          <w:sz w:val="28"/>
          <w:szCs w:val="28"/>
        </w:rPr>
        <w:t xml:space="preserve"> S., </w:t>
      </w:r>
      <w:proofErr w:type="spellStart"/>
      <w:r w:rsidRPr="002C4DFC">
        <w:rPr>
          <w:rFonts w:ascii="Times New Roman" w:hAnsi="Times New Roman" w:cs="Times New Roman"/>
          <w:sz w:val="28"/>
          <w:szCs w:val="28"/>
        </w:rPr>
        <w:t>Bussell</w:t>
      </w:r>
      <w:proofErr w:type="spellEnd"/>
      <w:r w:rsidRPr="002C4DFC">
        <w:rPr>
          <w:rFonts w:ascii="Times New Roman" w:hAnsi="Times New Roman" w:cs="Times New Roman"/>
          <w:sz w:val="28"/>
          <w:szCs w:val="28"/>
        </w:rPr>
        <w:t xml:space="preserve"> J., </w:t>
      </w:r>
      <w:proofErr w:type="spellStart"/>
      <w:r w:rsidRPr="002C4DFC">
        <w:rPr>
          <w:rFonts w:ascii="Times New Roman" w:hAnsi="Times New Roman" w:cs="Times New Roman"/>
          <w:sz w:val="28"/>
          <w:szCs w:val="28"/>
        </w:rPr>
        <w:t>Sparkes</w:t>
      </w:r>
      <w:proofErr w:type="spellEnd"/>
      <w:r w:rsidRPr="002C4DFC">
        <w:rPr>
          <w:rFonts w:ascii="Times New Roman" w:hAnsi="Times New Roman" w:cs="Times New Roman"/>
          <w:sz w:val="28"/>
          <w:szCs w:val="28"/>
        </w:rPr>
        <w:t xml:space="preserve"> D., </w:t>
      </w:r>
      <w:proofErr w:type="spellStart"/>
      <w:r w:rsidRPr="002C4DFC">
        <w:rPr>
          <w:rFonts w:ascii="Times New Roman" w:hAnsi="Times New Roman" w:cs="Times New Roman"/>
          <w:sz w:val="28"/>
          <w:szCs w:val="28"/>
        </w:rPr>
        <w:t>de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Heer</w:t>
      </w:r>
      <w:proofErr w:type="spellEnd"/>
      <w:r w:rsidRPr="002C4DFC">
        <w:rPr>
          <w:rFonts w:ascii="Times New Roman" w:hAnsi="Times New Roman" w:cs="Times New Roman"/>
          <w:sz w:val="28"/>
          <w:szCs w:val="28"/>
        </w:rPr>
        <w:t xml:space="preserve"> M. I., </w:t>
      </w:r>
      <w:proofErr w:type="spellStart"/>
      <w:r w:rsidRPr="002C4DFC">
        <w:rPr>
          <w:rFonts w:ascii="Times New Roman" w:hAnsi="Times New Roman" w:cs="Times New Roman"/>
          <w:sz w:val="28"/>
          <w:szCs w:val="28"/>
        </w:rPr>
        <w:t>Mooney</w:t>
      </w:r>
      <w:proofErr w:type="spellEnd"/>
      <w:r w:rsidRPr="002C4DFC">
        <w:rPr>
          <w:rFonts w:ascii="Times New Roman" w:hAnsi="Times New Roman" w:cs="Times New Roman"/>
          <w:sz w:val="28"/>
          <w:szCs w:val="28"/>
        </w:rPr>
        <w:t xml:space="preserve"> S. J., </w:t>
      </w:r>
      <w:proofErr w:type="spellStart"/>
      <w:r w:rsidRPr="002C4DFC">
        <w:rPr>
          <w:rFonts w:ascii="Times New Roman" w:hAnsi="Times New Roman" w:cs="Times New Roman"/>
          <w:sz w:val="28"/>
          <w:szCs w:val="28"/>
        </w:rPr>
        <w:t>Sturrock</w:t>
      </w:r>
      <w:proofErr w:type="spellEnd"/>
      <w:r w:rsidRPr="002C4DFC">
        <w:rPr>
          <w:rFonts w:ascii="Times New Roman" w:hAnsi="Times New Roman" w:cs="Times New Roman"/>
          <w:sz w:val="28"/>
          <w:szCs w:val="28"/>
        </w:rPr>
        <w:t xml:space="preserve"> C. J. </w:t>
      </w:r>
      <w:proofErr w:type="spellStart"/>
      <w:r w:rsidRPr="002C4DFC">
        <w:rPr>
          <w:rFonts w:ascii="Times New Roman" w:hAnsi="Times New Roman" w:cs="Times New Roman"/>
          <w:sz w:val="28"/>
          <w:szCs w:val="28"/>
        </w:rPr>
        <w:t>The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effects</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of</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tillage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on</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seed-soil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contact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and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seedling</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establishment</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Soil</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and</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Tillage</w:t>
      </w:r>
      <w:proofErr w:type="spellEnd"/>
      <w:r w:rsidRPr="002C4DFC">
        <w:rPr>
          <w:rFonts w:ascii="Times New Roman" w:hAnsi="Times New Roman" w:cs="Times New Roman"/>
          <w:sz w:val="28"/>
          <w:szCs w:val="28"/>
        </w:rPr>
        <w:t xml:space="preserve"> </w:t>
      </w:r>
      <w:proofErr w:type="spellStart"/>
      <w:r w:rsidRPr="002C4DFC">
        <w:rPr>
          <w:rFonts w:ascii="Times New Roman" w:hAnsi="Times New Roman" w:cs="Times New Roman"/>
          <w:sz w:val="28"/>
          <w:szCs w:val="28"/>
        </w:rPr>
        <w:t>Research</w:t>
      </w:r>
      <w:proofErr w:type="spellEnd"/>
      <w:r w:rsidRPr="002C4DFC">
        <w:rPr>
          <w:rFonts w:ascii="Times New Roman" w:hAnsi="Times New Roman" w:cs="Times New Roman"/>
          <w:sz w:val="28"/>
          <w:szCs w:val="28"/>
        </w:rPr>
        <w:t xml:space="preserve">. 2021. </w:t>
      </w:r>
      <w:proofErr w:type="spellStart"/>
      <w:r w:rsidRPr="002C4DFC">
        <w:rPr>
          <w:rFonts w:ascii="Times New Roman" w:hAnsi="Times New Roman" w:cs="Times New Roman"/>
          <w:sz w:val="28"/>
          <w:szCs w:val="28"/>
        </w:rPr>
        <w:t>Vol</w:t>
      </w:r>
      <w:proofErr w:type="spellEnd"/>
      <w:r w:rsidRPr="002C4DFC">
        <w:rPr>
          <w:rFonts w:ascii="Times New Roman" w:hAnsi="Times New Roman" w:cs="Times New Roman"/>
          <w:sz w:val="28"/>
          <w:szCs w:val="28"/>
        </w:rPr>
        <w:t xml:space="preserve">. 206. </w:t>
      </w:r>
      <w:proofErr w:type="spellStart"/>
      <w:r w:rsidRPr="002C4DFC">
        <w:rPr>
          <w:rFonts w:ascii="Times New Roman" w:hAnsi="Times New Roman" w:cs="Times New Roman"/>
          <w:sz w:val="28"/>
          <w:szCs w:val="28"/>
        </w:rPr>
        <w:t>Art</w:t>
      </w:r>
      <w:proofErr w:type="spellEnd"/>
      <w:r w:rsidRPr="002C4DFC">
        <w:rPr>
          <w:rFonts w:ascii="Times New Roman" w:hAnsi="Times New Roman" w:cs="Times New Roman"/>
          <w:sz w:val="28"/>
          <w:szCs w:val="28"/>
        </w:rPr>
        <w:t>. 104757. DOI: 10.1016/j.still.2020.104757.</w:t>
      </w:r>
    </w:p>
    <w:sectPr w:rsidR="0042298E" w:rsidRPr="002C4DFC" w:rsidSect="0026247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501D"/>
    <w:multiLevelType w:val="hybridMultilevel"/>
    <w:tmpl w:val="67D857F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08942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93"/>
    <w:rsid w:val="000824CE"/>
    <w:rsid w:val="000D4BA7"/>
    <w:rsid w:val="00262474"/>
    <w:rsid w:val="002C4DFC"/>
    <w:rsid w:val="00414AE7"/>
    <w:rsid w:val="0042298E"/>
    <w:rsid w:val="00595CB8"/>
    <w:rsid w:val="00C67593"/>
    <w:rsid w:val="00ED7315"/>
    <w:rsid w:val="00FE5E07"/>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298D"/>
  <w15:chartTrackingRefBased/>
  <w15:docId w15:val="{F83BC2C7-FAC4-49CA-9BF2-EC7A9FA88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474"/>
  </w:style>
  <w:style w:type="paragraph" w:styleId="1">
    <w:name w:val="heading 1"/>
    <w:basedOn w:val="a"/>
    <w:next w:val="a"/>
    <w:link w:val="10"/>
    <w:uiPriority w:val="9"/>
    <w:qFormat/>
    <w:rsid w:val="00C67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67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675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675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675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675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675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675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675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675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675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675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6759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675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675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67593"/>
    <w:rPr>
      <w:rFonts w:eastAsiaTheme="majorEastAsia" w:cstheme="majorBidi"/>
      <w:color w:val="595959" w:themeColor="text1" w:themeTint="A6"/>
    </w:rPr>
  </w:style>
  <w:style w:type="character" w:customStyle="1" w:styleId="80">
    <w:name w:val="Заголовок 8 Знак"/>
    <w:basedOn w:val="a0"/>
    <w:link w:val="8"/>
    <w:uiPriority w:val="9"/>
    <w:semiHidden/>
    <w:rsid w:val="00C675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67593"/>
    <w:rPr>
      <w:rFonts w:eastAsiaTheme="majorEastAsia" w:cstheme="majorBidi"/>
      <w:color w:val="272727" w:themeColor="text1" w:themeTint="D8"/>
    </w:rPr>
  </w:style>
  <w:style w:type="paragraph" w:styleId="a3">
    <w:name w:val="Title"/>
    <w:basedOn w:val="a"/>
    <w:next w:val="a"/>
    <w:link w:val="a4"/>
    <w:uiPriority w:val="10"/>
    <w:qFormat/>
    <w:rsid w:val="00C67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C675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759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C6759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67593"/>
    <w:pPr>
      <w:spacing w:before="160"/>
      <w:jc w:val="center"/>
    </w:pPr>
    <w:rPr>
      <w:i/>
      <w:iCs/>
      <w:color w:val="404040" w:themeColor="text1" w:themeTint="BF"/>
    </w:rPr>
  </w:style>
  <w:style w:type="character" w:customStyle="1" w:styleId="a8">
    <w:name w:val="Цитата Знак"/>
    <w:basedOn w:val="a0"/>
    <w:link w:val="a7"/>
    <w:uiPriority w:val="29"/>
    <w:rsid w:val="00C67593"/>
    <w:rPr>
      <w:i/>
      <w:iCs/>
      <w:color w:val="404040" w:themeColor="text1" w:themeTint="BF"/>
    </w:rPr>
  </w:style>
  <w:style w:type="paragraph" w:styleId="a9">
    <w:name w:val="List Paragraph"/>
    <w:basedOn w:val="a"/>
    <w:uiPriority w:val="34"/>
    <w:qFormat/>
    <w:rsid w:val="00C67593"/>
    <w:pPr>
      <w:ind w:left="720"/>
      <w:contextualSpacing/>
    </w:pPr>
  </w:style>
  <w:style w:type="character" w:styleId="aa">
    <w:name w:val="Intense Emphasis"/>
    <w:basedOn w:val="a0"/>
    <w:uiPriority w:val="21"/>
    <w:qFormat/>
    <w:rsid w:val="00C67593"/>
    <w:rPr>
      <w:i/>
      <w:iCs/>
      <w:color w:val="0F4761" w:themeColor="accent1" w:themeShade="BF"/>
    </w:rPr>
  </w:style>
  <w:style w:type="paragraph" w:styleId="ab">
    <w:name w:val="Intense Quote"/>
    <w:basedOn w:val="a"/>
    <w:next w:val="a"/>
    <w:link w:val="ac"/>
    <w:uiPriority w:val="30"/>
    <w:qFormat/>
    <w:rsid w:val="00C67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C67593"/>
    <w:rPr>
      <w:i/>
      <w:iCs/>
      <w:color w:val="0F4761" w:themeColor="accent1" w:themeShade="BF"/>
    </w:rPr>
  </w:style>
  <w:style w:type="character" w:styleId="ad">
    <w:name w:val="Intense Reference"/>
    <w:basedOn w:val="a0"/>
    <w:uiPriority w:val="32"/>
    <w:qFormat/>
    <w:rsid w:val="00C67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5528</Words>
  <Characters>3151</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3</cp:revision>
  <dcterms:created xsi:type="dcterms:W3CDTF">2026-10-05T14:44:00Z</dcterms:created>
  <dcterms:modified xsi:type="dcterms:W3CDTF">2026-10-05T14:45:00Z</dcterms:modified>
</cp:coreProperties>
</file>