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614D6" w14:textId="762A3D75" w:rsidR="00F9764A" w:rsidRDefault="009C09BA" w:rsidP="001F4D91">
      <w:pPr>
        <w:spacing w:after="0" w:line="276" w:lineRule="auto"/>
        <w:ind w:firstLine="709"/>
        <w:jc w:val="both"/>
        <w:rPr>
          <w:rFonts w:ascii="Times New Roman" w:hAnsi="Times New Roman" w:cs="Times New Roman"/>
          <w:sz w:val="28"/>
          <w:szCs w:val="28"/>
          <w:lang w:val="en-US"/>
        </w:rPr>
      </w:pPr>
      <w:r w:rsidRPr="001C7ED9">
        <w:rPr>
          <w:rFonts w:ascii="Times New Roman" w:hAnsi="Times New Roman" w:cs="Times New Roman"/>
          <w:sz w:val="28"/>
          <w:szCs w:val="28"/>
          <w:lang w:val="uk-UA"/>
        </w:rPr>
        <w:t xml:space="preserve">УДК </w:t>
      </w:r>
      <w:r w:rsidR="00C9124F" w:rsidRPr="001C7ED9">
        <w:rPr>
          <w:rFonts w:ascii="Times New Roman" w:hAnsi="Times New Roman" w:cs="Times New Roman"/>
          <w:sz w:val="28"/>
          <w:szCs w:val="28"/>
        </w:rPr>
        <w:t>631.363.7:681.5</w:t>
      </w:r>
    </w:p>
    <w:p w14:paraId="3DFB9924" w14:textId="77777777" w:rsidR="001F4D91" w:rsidRPr="001F4D91" w:rsidRDefault="001F4D91" w:rsidP="001F4D91">
      <w:pPr>
        <w:spacing w:after="0" w:line="276" w:lineRule="auto"/>
        <w:ind w:firstLine="709"/>
        <w:jc w:val="center"/>
        <w:rPr>
          <w:rFonts w:ascii="Times New Roman" w:hAnsi="Times New Roman" w:cs="Times New Roman"/>
          <w:sz w:val="28"/>
          <w:szCs w:val="28"/>
          <w:lang w:val="en-US"/>
        </w:rPr>
      </w:pPr>
    </w:p>
    <w:p w14:paraId="4852BBF0" w14:textId="2800B4FE" w:rsidR="00C9124F" w:rsidRPr="001C7ED9" w:rsidRDefault="00C9124F" w:rsidP="001F4D91">
      <w:pPr>
        <w:spacing w:after="0" w:line="276" w:lineRule="auto"/>
        <w:ind w:firstLine="709"/>
        <w:jc w:val="center"/>
        <w:rPr>
          <w:rFonts w:ascii="Times New Roman" w:hAnsi="Times New Roman" w:cs="Times New Roman"/>
          <w:b/>
          <w:bCs/>
          <w:sz w:val="28"/>
          <w:szCs w:val="28"/>
          <w:lang w:val="uk-UA"/>
        </w:rPr>
      </w:pPr>
      <w:r w:rsidRPr="001C7ED9">
        <w:rPr>
          <w:rFonts w:ascii="Times New Roman" w:hAnsi="Times New Roman" w:cs="Times New Roman"/>
          <w:b/>
          <w:bCs/>
          <w:sz w:val="28"/>
          <w:szCs w:val="28"/>
          <w:lang w:val="uk-UA"/>
        </w:rPr>
        <w:t>КОНЦЕПТУАЛЬНІ ЗАСАДИ АДАПТИВНОГО КЕРУВАННЯ ПРОЦЕСОМ ЗМІШУВАННЯ КОРМОВИХ МАТЕРІАЛІВ</w:t>
      </w:r>
    </w:p>
    <w:p w14:paraId="1F993782" w14:textId="522B34AB" w:rsidR="0070215B" w:rsidRPr="001C7ED9" w:rsidRDefault="0070215B" w:rsidP="001F4D91">
      <w:pPr>
        <w:spacing w:after="0" w:line="276" w:lineRule="auto"/>
        <w:ind w:firstLine="709"/>
        <w:jc w:val="center"/>
        <w:rPr>
          <w:rFonts w:ascii="Times New Roman" w:hAnsi="Times New Roman" w:cs="Times New Roman"/>
          <w:b/>
          <w:bCs/>
          <w:sz w:val="28"/>
          <w:szCs w:val="28"/>
          <w:lang w:val="uk-UA"/>
        </w:rPr>
      </w:pPr>
      <w:r w:rsidRPr="001C7ED9">
        <w:rPr>
          <w:rFonts w:ascii="Times New Roman" w:hAnsi="Times New Roman" w:cs="Times New Roman"/>
          <w:b/>
          <w:bCs/>
          <w:sz w:val="28"/>
          <w:szCs w:val="28"/>
          <w:lang w:val="uk-UA"/>
        </w:rPr>
        <w:t>Купчук І.М.</w:t>
      </w:r>
      <w:r w:rsidR="001A1010" w:rsidRPr="001C7ED9">
        <w:rPr>
          <w:rFonts w:ascii="Times New Roman" w:hAnsi="Times New Roman" w:cs="Times New Roman"/>
          <w:b/>
          <w:bCs/>
          <w:sz w:val="28"/>
          <w:szCs w:val="28"/>
          <w:lang w:val="uk-UA"/>
        </w:rPr>
        <w:t xml:space="preserve">, </w:t>
      </w:r>
      <w:r w:rsidR="001A1010" w:rsidRPr="001C7ED9">
        <w:rPr>
          <w:rFonts w:ascii="Times New Roman" w:hAnsi="Times New Roman" w:cs="Times New Roman"/>
          <w:sz w:val="28"/>
          <w:szCs w:val="28"/>
          <w:lang w:val="uk-UA"/>
        </w:rPr>
        <w:t xml:space="preserve">к.т.н., доцент, </w:t>
      </w:r>
      <w:r w:rsidR="001A1010" w:rsidRPr="001C7ED9">
        <w:rPr>
          <w:rFonts w:ascii="Times New Roman" w:hAnsi="Times New Roman" w:cs="Times New Roman"/>
          <w:sz w:val="28"/>
          <w:szCs w:val="28"/>
          <w:lang w:val="en-US"/>
        </w:rPr>
        <w:t>kupchuk</w:t>
      </w:r>
      <w:r w:rsidR="001A1010" w:rsidRPr="001C7ED9">
        <w:rPr>
          <w:rFonts w:ascii="Times New Roman" w:hAnsi="Times New Roman" w:cs="Times New Roman"/>
          <w:sz w:val="28"/>
          <w:szCs w:val="28"/>
          <w:lang w:val="uk-UA"/>
        </w:rPr>
        <w:t>.</w:t>
      </w:r>
      <w:r w:rsidR="001A1010" w:rsidRPr="001C7ED9">
        <w:rPr>
          <w:rFonts w:ascii="Times New Roman" w:hAnsi="Times New Roman" w:cs="Times New Roman"/>
          <w:sz w:val="28"/>
          <w:szCs w:val="28"/>
          <w:lang w:val="en-US"/>
        </w:rPr>
        <w:t>igor</w:t>
      </w:r>
      <w:r w:rsidR="001A1010" w:rsidRPr="001C7ED9">
        <w:rPr>
          <w:rFonts w:ascii="Times New Roman" w:hAnsi="Times New Roman" w:cs="Times New Roman"/>
          <w:sz w:val="28"/>
          <w:szCs w:val="28"/>
          <w:lang w:val="uk-UA"/>
        </w:rPr>
        <w:t>@</w:t>
      </w:r>
      <w:r w:rsidR="001A1010" w:rsidRPr="001C7ED9">
        <w:rPr>
          <w:rFonts w:ascii="Times New Roman" w:hAnsi="Times New Roman" w:cs="Times New Roman"/>
          <w:sz w:val="28"/>
          <w:szCs w:val="28"/>
          <w:lang w:val="en-US"/>
        </w:rPr>
        <w:t>i</w:t>
      </w:r>
      <w:r w:rsidR="001A1010" w:rsidRPr="001C7ED9">
        <w:rPr>
          <w:rFonts w:ascii="Times New Roman" w:hAnsi="Times New Roman" w:cs="Times New Roman"/>
          <w:sz w:val="28"/>
          <w:szCs w:val="28"/>
          <w:lang w:val="uk-UA"/>
        </w:rPr>
        <w:t>.</w:t>
      </w:r>
      <w:r w:rsidR="001A1010" w:rsidRPr="001C7ED9">
        <w:rPr>
          <w:rFonts w:ascii="Times New Roman" w:hAnsi="Times New Roman" w:cs="Times New Roman"/>
          <w:sz w:val="28"/>
          <w:szCs w:val="28"/>
          <w:lang w:val="en-US"/>
        </w:rPr>
        <w:t>ua</w:t>
      </w:r>
    </w:p>
    <w:p w14:paraId="11AF7F92" w14:textId="43DF1790" w:rsidR="0070215B" w:rsidRDefault="0070215B" w:rsidP="001F4D91">
      <w:pPr>
        <w:spacing w:after="0" w:line="276" w:lineRule="auto"/>
        <w:ind w:firstLine="709"/>
        <w:jc w:val="center"/>
        <w:rPr>
          <w:rFonts w:ascii="Times New Roman" w:hAnsi="Times New Roman" w:cs="Times New Roman"/>
          <w:i/>
          <w:iCs/>
          <w:sz w:val="28"/>
          <w:szCs w:val="28"/>
          <w:lang w:val="en-US"/>
        </w:rPr>
      </w:pPr>
      <w:r w:rsidRPr="001C7ED9">
        <w:rPr>
          <w:rFonts w:ascii="Times New Roman" w:hAnsi="Times New Roman" w:cs="Times New Roman"/>
          <w:i/>
          <w:iCs/>
          <w:sz w:val="28"/>
          <w:szCs w:val="28"/>
          <w:lang w:val="uk-UA"/>
        </w:rPr>
        <w:t>Вінницький національний аграрний університет</w:t>
      </w:r>
    </w:p>
    <w:p w14:paraId="35EC8268" w14:textId="77777777" w:rsidR="001F4D91" w:rsidRPr="001F4D91" w:rsidRDefault="001F4D91" w:rsidP="001F4D91">
      <w:pPr>
        <w:spacing w:after="0" w:line="276" w:lineRule="auto"/>
        <w:ind w:firstLine="709"/>
        <w:jc w:val="center"/>
        <w:rPr>
          <w:rFonts w:ascii="Times New Roman" w:hAnsi="Times New Roman" w:cs="Times New Roman"/>
          <w:i/>
          <w:iCs/>
          <w:sz w:val="28"/>
          <w:szCs w:val="28"/>
          <w:lang w:val="en-US"/>
        </w:rPr>
      </w:pPr>
    </w:p>
    <w:p w14:paraId="4B8C6ED7" w14:textId="1BAD1CCD" w:rsidR="00C9124F" w:rsidRPr="001C7ED9" w:rsidRDefault="00C9124F"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b/>
          <w:bCs/>
          <w:sz w:val="28"/>
          <w:szCs w:val="28"/>
          <w:lang w:val="uk-UA"/>
        </w:rPr>
        <w:t>Постановка проблеми</w:t>
      </w:r>
      <w:r w:rsidR="002D7293" w:rsidRPr="001C7ED9">
        <w:rPr>
          <w:rFonts w:ascii="Times New Roman" w:hAnsi="Times New Roman" w:cs="Times New Roman"/>
          <w:b/>
          <w:bCs/>
          <w:sz w:val="28"/>
          <w:szCs w:val="28"/>
          <w:lang w:val="uk-UA"/>
        </w:rPr>
        <w:t>.</w:t>
      </w:r>
      <w:r w:rsidR="002D7293" w:rsidRPr="001C7ED9">
        <w:rPr>
          <w:rFonts w:ascii="Times New Roman" w:hAnsi="Times New Roman" w:cs="Times New Roman"/>
          <w:sz w:val="28"/>
          <w:szCs w:val="28"/>
          <w:lang w:val="uk-UA"/>
        </w:rPr>
        <w:t xml:space="preserve"> </w:t>
      </w:r>
      <w:r w:rsidRPr="001C7ED9">
        <w:rPr>
          <w:rFonts w:ascii="Times New Roman" w:hAnsi="Times New Roman" w:cs="Times New Roman"/>
          <w:sz w:val="28"/>
          <w:szCs w:val="28"/>
        </w:rPr>
        <w:t>Оскільки результат змішування кормових матеріалів залежить від властивостей компонентів, завантаження ємності та режиму механічного впливу [1, 2], зміна умов роботи зумовлює необхідність коригування режиму на основі оцінки поточного стану процесу. Це потребує обґрунтування зв’язку між вимірюваними параметрами, характеристиками стану суміші та керувальними впливами, вибір яких має забезпечувати досягнення заданої однорідності зі збереженням необхідної структури корму за раціональних питомих енерговитрат.</w:t>
      </w:r>
    </w:p>
    <w:p w14:paraId="796123DF" w14:textId="266823DB" w:rsidR="00066448" w:rsidRPr="001C7ED9" w:rsidRDefault="00A1336D"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b/>
          <w:bCs/>
          <w:sz w:val="28"/>
          <w:szCs w:val="28"/>
          <w:lang w:val="uk-UA"/>
        </w:rPr>
        <w:t xml:space="preserve">Метою дослідження </w:t>
      </w:r>
      <w:r w:rsidRPr="001C7ED9">
        <w:rPr>
          <w:rFonts w:ascii="Times New Roman" w:hAnsi="Times New Roman" w:cs="Times New Roman"/>
          <w:sz w:val="28"/>
          <w:szCs w:val="28"/>
          <w:lang w:val="uk-UA"/>
        </w:rPr>
        <w:t xml:space="preserve">є </w:t>
      </w:r>
      <w:r w:rsidR="00066448" w:rsidRPr="001C7ED9">
        <w:rPr>
          <w:rFonts w:ascii="Times New Roman" w:hAnsi="Times New Roman" w:cs="Times New Roman"/>
          <w:sz w:val="28"/>
          <w:szCs w:val="28"/>
        </w:rPr>
        <w:t>обґрунтування концептуальних засад адаптивного керування процесом змішування кормових матеріалів шляхом узгодження керувальних впливів з оцінкою поточного стану процесу для досягнення заданої однорідності суміші зі збереженням необхідної структури корму за раціональних питомих енерговитрат.</w:t>
      </w:r>
    </w:p>
    <w:p w14:paraId="16F1FE93" w14:textId="0B1E636A" w:rsidR="00221586" w:rsidRPr="001C7ED9" w:rsidRDefault="00221586"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b/>
          <w:bCs/>
          <w:sz w:val="28"/>
          <w:szCs w:val="28"/>
        </w:rPr>
        <w:t>Методичний підхід</w:t>
      </w:r>
      <w:r w:rsidRPr="001C7ED9">
        <w:rPr>
          <w:rFonts w:ascii="Times New Roman" w:hAnsi="Times New Roman" w:cs="Times New Roman"/>
          <w:sz w:val="28"/>
          <w:szCs w:val="28"/>
        </w:rPr>
        <w:t>. Дослідження ґрунтується на структурно-функціональному аналізі процесу змішування, у межах якого властивості матеріалу та режим механічного впливу пов’язано з вимірюваними параметрами й показниками якості суміші. Для формування схеми адаптивного керування розмежовано безпосередньо вимірювані величини та характеристики стану процесу, що потребують модельного оцінювання, і визначено послідовність використання цієї інформації для коригування режиму та перевірки технологічного результату.</w:t>
      </w:r>
    </w:p>
    <w:p w14:paraId="05B77F29" w14:textId="618AC38C" w:rsidR="008F5532" w:rsidRPr="001C7ED9" w:rsidRDefault="00C77A08" w:rsidP="001F4D91">
      <w:pPr>
        <w:spacing w:after="0" w:line="276" w:lineRule="auto"/>
        <w:ind w:firstLine="709"/>
        <w:jc w:val="both"/>
        <w:rPr>
          <w:rFonts w:ascii="Times New Roman" w:hAnsi="Times New Roman" w:cs="Times New Roman"/>
          <w:sz w:val="28"/>
          <w:szCs w:val="28"/>
          <w:lang w:val="uk-UA"/>
        </w:rPr>
      </w:pPr>
      <w:r w:rsidRPr="001C7ED9">
        <w:rPr>
          <w:rFonts w:ascii="Times New Roman" w:hAnsi="Times New Roman" w:cs="Times New Roman"/>
          <w:b/>
          <w:bCs/>
          <w:sz w:val="28"/>
          <w:szCs w:val="28"/>
          <w:lang w:val="uk-UA"/>
        </w:rPr>
        <w:t xml:space="preserve">Результати дослідження. </w:t>
      </w:r>
      <w:r w:rsidR="008F5532" w:rsidRPr="001C7ED9">
        <w:rPr>
          <w:rFonts w:ascii="Times New Roman" w:hAnsi="Times New Roman" w:cs="Times New Roman"/>
          <w:sz w:val="28"/>
          <w:szCs w:val="28"/>
          <w:lang w:val="uk-UA"/>
        </w:rPr>
        <w:t xml:space="preserve">Запропоновано структурно-функціональну схему адаптивного керування змішуванням кормових матеріалів (рис. 1), що поєднує вибір керувальних впливів, оцінювання стану суміші та уточнення параметрів моделі за результатами вимірювань. Вихідними даними є вектор властивостей і складу партії </w:t>
      </w:r>
      <w:r w:rsidR="008F5532" w:rsidRPr="001C7ED9">
        <w:rPr>
          <w:rFonts w:ascii="Times New Roman" w:eastAsia="Cambria Math" w:hAnsi="Times New Roman" w:cs="Times New Roman"/>
          <w:i/>
          <w:sz w:val="28"/>
          <w:szCs w:val="28"/>
        </w:rPr>
        <w:t>p</w:t>
      </w:r>
      <w:r w:rsidR="008F5532" w:rsidRPr="001C7ED9">
        <w:rPr>
          <w:rFonts w:ascii="Times New Roman" w:hAnsi="Times New Roman" w:cs="Times New Roman"/>
          <w:sz w:val="28"/>
          <w:szCs w:val="28"/>
          <w:lang w:val="uk-UA"/>
        </w:rPr>
        <w:t>, який охоплює рецептуру, масу, вологість, фракційний склад і ступінь заповнення робочої ємності, а також технологічні вимоги, що задають допустимі значення показників якості.</w:t>
      </w:r>
    </w:p>
    <w:p w14:paraId="637B6827" w14:textId="77777777" w:rsidR="001F4D91" w:rsidRDefault="008F5532" w:rsidP="001F4D91">
      <w:pPr>
        <w:spacing w:after="0" w:line="276" w:lineRule="auto"/>
        <w:jc w:val="center"/>
        <w:rPr>
          <w:lang w:val="en-US"/>
        </w:rPr>
      </w:pPr>
      <w:r w:rsidRPr="001C7ED9">
        <w:lastRenderedPageBreak/>
        <w:drawing>
          <wp:inline distT="0" distB="0" distL="0" distR="0" wp14:anchorId="5548DA23" wp14:editId="2F24C715">
            <wp:extent cx="4899625" cy="28449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png"/>
                    <pic:cNvPicPr/>
                  </pic:nvPicPr>
                  <pic:blipFill>
                    <a:blip r:embed="rId5"/>
                    <a:stretch>
                      <a:fillRect/>
                    </a:stretch>
                  </pic:blipFill>
                  <pic:spPr>
                    <a:xfrm>
                      <a:off x="0" y="0"/>
                      <a:ext cx="4905463" cy="2848333"/>
                    </a:xfrm>
                    <a:prstGeom prst="rect">
                      <a:avLst/>
                    </a:prstGeom>
                  </pic:spPr>
                </pic:pic>
              </a:graphicData>
            </a:graphic>
          </wp:inline>
        </w:drawing>
      </w:r>
    </w:p>
    <w:p w14:paraId="572B34EA" w14:textId="1F037A66" w:rsidR="00C41E01" w:rsidRPr="001F4D91" w:rsidRDefault="008F5532" w:rsidP="001F4D91">
      <w:pPr>
        <w:spacing w:after="0" w:line="276" w:lineRule="auto"/>
        <w:jc w:val="center"/>
      </w:pPr>
      <w:r w:rsidRPr="001C7ED9">
        <w:rPr>
          <w:rFonts w:ascii="Times New Roman" w:hAnsi="Times New Roman" w:cs="Times New Roman"/>
          <w:iCs/>
          <w:sz w:val="28"/>
          <w:szCs w:val="28"/>
        </w:rPr>
        <w:t>Рис. 1. Структурно-функціональна схема адаптивного керування процесом змішування кормових матеріалів</w:t>
      </w:r>
      <w:r w:rsidR="00C41E01" w:rsidRPr="001C7ED9">
        <w:rPr>
          <w:rFonts w:ascii="Times New Roman" w:hAnsi="Times New Roman" w:cs="Times New Roman"/>
          <w:iCs/>
          <w:sz w:val="28"/>
          <w:szCs w:val="28"/>
        </w:rPr>
        <w:t xml:space="preserve">: </w:t>
      </w:r>
      <w:r w:rsidR="00C41E01" w:rsidRPr="001C7ED9">
        <w:rPr>
          <w:rFonts w:ascii="Times New Roman" w:hAnsi="Times New Roman" w:cs="Times New Roman"/>
          <w:i/>
          <w:iCs/>
          <w:sz w:val="28"/>
          <w:szCs w:val="28"/>
        </w:rPr>
        <w:t>p</w:t>
      </w:r>
      <w:r w:rsidR="00C41E01" w:rsidRPr="001C7ED9">
        <w:rPr>
          <w:rFonts w:ascii="Times New Roman" w:hAnsi="Times New Roman" w:cs="Times New Roman"/>
          <w:sz w:val="28"/>
          <w:szCs w:val="28"/>
        </w:rPr>
        <w:t xml:space="preserve"> – параметри партії; </w:t>
      </w:r>
      <w:r w:rsidR="00C41E01" w:rsidRPr="001C7ED9">
        <w:rPr>
          <w:rFonts w:ascii="Times New Roman" w:hAnsi="Times New Roman" w:cs="Times New Roman"/>
          <w:i/>
          <w:iCs/>
          <w:sz w:val="28"/>
          <w:szCs w:val="28"/>
        </w:rPr>
        <w:t>u</w:t>
      </w:r>
      <w:r w:rsidR="00C41E01" w:rsidRPr="001C7ED9">
        <w:rPr>
          <w:rFonts w:ascii="Times New Roman" w:hAnsi="Times New Roman" w:cs="Times New Roman"/>
          <w:sz w:val="28"/>
          <w:szCs w:val="28"/>
        </w:rPr>
        <w:t xml:space="preserve"> – керувальні впливи; </w:t>
      </w:r>
      <w:r w:rsidR="00C41E01" w:rsidRPr="001C7ED9">
        <w:rPr>
          <w:rFonts w:ascii="Times New Roman" w:hAnsi="Times New Roman" w:cs="Times New Roman"/>
          <w:i/>
          <w:iCs/>
          <w:sz w:val="28"/>
          <w:szCs w:val="28"/>
        </w:rPr>
        <w:t>y</w:t>
      </w:r>
      <w:r w:rsidR="00C41E01" w:rsidRPr="001C7ED9">
        <w:rPr>
          <w:rFonts w:ascii="Times New Roman" w:hAnsi="Times New Roman" w:cs="Times New Roman"/>
          <w:sz w:val="28"/>
          <w:szCs w:val="28"/>
        </w:rPr>
        <w:t xml:space="preserve"> – вимірювання; </w:t>
      </w:r>
      <w:r w:rsidR="00C41E01" w:rsidRPr="001C7ED9">
        <w:rPr>
          <w:rFonts w:ascii="Times New Roman" w:hAnsi="Times New Roman" w:cs="Times New Roman"/>
          <w:i/>
          <w:iCs/>
          <w:sz w:val="28"/>
          <w:szCs w:val="28"/>
        </w:rPr>
        <w:t>x</w:t>
      </w:r>
      <w:r w:rsidR="00C41E01" w:rsidRPr="001C7ED9">
        <w:rPr>
          <w:rFonts w:ascii="Times New Roman" w:hAnsi="Times New Roman" w:cs="Times New Roman"/>
          <w:sz w:val="28"/>
          <w:szCs w:val="28"/>
        </w:rPr>
        <w:t xml:space="preserve">, </w:t>
      </w:r>
      <w:r w:rsidR="00C41E01" w:rsidRPr="001C7ED9">
        <w:rPr>
          <w:rFonts w:ascii="Times New Roman" w:hAnsi="Times New Roman" w:cs="Times New Roman"/>
          <w:i/>
          <w:iCs/>
          <w:sz w:val="28"/>
          <w:szCs w:val="28"/>
        </w:rPr>
        <w:t>x̂</w:t>
      </w:r>
      <w:r w:rsidR="00C41E01" w:rsidRPr="001C7ED9">
        <w:rPr>
          <w:rFonts w:ascii="Times New Roman" w:hAnsi="Times New Roman" w:cs="Times New Roman"/>
          <w:sz w:val="28"/>
          <w:szCs w:val="28"/>
        </w:rPr>
        <w:t xml:space="preserve"> – стан і оцінка; θ, θ̂ – параметри моделі; </w:t>
      </w:r>
      <w:r w:rsidR="00C41E01" w:rsidRPr="001C7ED9">
        <w:rPr>
          <w:rFonts w:ascii="Times New Roman" w:hAnsi="Times New Roman" w:cs="Times New Roman"/>
          <w:i/>
          <w:iCs/>
          <w:sz w:val="28"/>
          <w:szCs w:val="28"/>
        </w:rPr>
        <w:t>ŷ</w:t>
      </w:r>
      <w:r w:rsidR="00C41E01" w:rsidRPr="001C7ED9">
        <w:rPr>
          <w:rFonts w:ascii="Times New Roman" w:hAnsi="Times New Roman" w:cs="Times New Roman"/>
          <w:sz w:val="28"/>
          <w:szCs w:val="28"/>
        </w:rPr>
        <w:t xml:space="preserve"> – прогноз; </w:t>
      </w:r>
      <w:r w:rsidR="00C41E01" w:rsidRPr="001C7ED9">
        <w:rPr>
          <w:rFonts w:ascii="Times New Roman" w:hAnsi="Times New Roman" w:cs="Times New Roman"/>
          <w:i/>
          <w:iCs/>
          <w:sz w:val="28"/>
          <w:szCs w:val="28"/>
        </w:rPr>
        <w:t>ε</w:t>
      </w:r>
      <w:r w:rsidR="00C41E01" w:rsidRPr="001C7ED9">
        <w:rPr>
          <w:rFonts w:ascii="Times New Roman" w:hAnsi="Times New Roman" w:cs="Times New Roman"/>
          <w:sz w:val="28"/>
          <w:szCs w:val="28"/>
        </w:rPr>
        <w:t xml:space="preserve"> – похибка; </w:t>
      </w:r>
      <w:r w:rsidR="00C41E01" w:rsidRPr="001C7ED9">
        <w:rPr>
          <w:rFonts w:ascii="Times New Roman" w:hAnsi="Times New Roman" w:cs="Times New Roman"/>
          <w:i/>
          <w:iCs/>
          <w:sz w:val="28"/>
          <w:szCs w:val="28"/>
        </w:rPr>
        <w:t>CV</w:t>
      </w:r>
      <w:r w:rsidR="00C41E01" w:rsidRPr="001C7ED9">
        <w:rPr>
          <w:rFonts w:ascii="Times New Roman" w:hAnsi="Times New Roman" w:cs="Times New Roman"/>
          <w:sz w:val="28"/>
          <w:szCs w:val="28"/>
        </w:rPr>
        <w:t xml:space="preserve"> – коефіцієнт варіації; </w:t>
      </w:r>
      <w:r w:rsidR="00C41E01" w:rsidRPr="001C7ED9">
        <w:rPr>
          <w:rFonts w:ascii="Times New Roman" w:hAnsi="Times New Roman" w:cs="Times New Roman"/>
          <w:i/>
          <w:iCs/>
          <w:sz w:val="28"/>
          <w:szCs w:val="28"/>
        </w:rPr>
        <w:t>S</w:t>
      </w:r>
      <w:r w:rsidR="00C41E01" w:rsidRPr="001C7ED9">
        <w:rPr>
          <w:rFonts w:ascii="Times New Roman" w:hAnsi="Times New Roman" w:cs="Times New Roman"/>
          <w:sz w:val="28"/>
          <w:szCs w:val="28"/>
        </w:rPr>
        <w:t xml:space="preserve"> – показники структури; </w:t>
      </w:r>
      <w:r w:rsidR="00C41E01" w:rsidRPr="001C7ED9">
        <w:rPr>
          <w:rFonts w:ascii="Cambria Math" w:hAnsi="Cambria Math" w:cs="Cambria Math"/>
          <w:i/>
          <w:iCs/>
          <w:sz w:val="28"/>
          <w:szCs w:val="28"/>
        </w:rPr>
        <w:t>𝒰</w:t>
      </w:r>
      <w:r w:rsidR="00C41E01" w:rsidRPr="001C7ED9">
        <w:rPr>
          <w:rFonts w:ascii="Times New Roman" w:hAnsi="Times New Roman" w:cs="Times New Roman"/>
          <w:i/>
          <w:iCs/>
          <w:sz w:val="28"/>
          <w:szCs w:val="28"/>
          <w:vertAlign w:val="subscript"/>
        </w:rPr>
        <w:t>доп</w:t>
      </w:r>
      <w:r w:rsidR="00C41E01" w:rsidRPr="001C7ED9">
        <w:rPr>
          <w:rFonts w:ascii="Times New Roman" w:hAnsi="Times New Roman" w:cs="Times New Roman"/>
          <w:sz w:val="28"/>
          <w:szCs w:val="28"/>
        </w:rPr>
        <w:t xml:space="preserve"> – допустимі керування; </w:t>
      </w:r>
      <w:r w:rsidR="00C41E01" w:rsidRPr="001C7ED9">
        <w:rPr>
          <w:rFonts w:ascii="Times New Roman" w:hAnsi="Times New Roman" w:cs="Times New Roman"/>
          <w:i/>
          <w:iCs/>
          <w:sz w:val="28"/>
          <w:szCs w:val="28"/>
        </w:rPr>
        <w:t>e</w:t>
      </w:r>
      <w:r w:rsidR="00C41E01" w:rsidRPr="001C7ED9">
        <w:rPr>
          <w:rFonts w:ascii="Times New Roman" w:hAnsi="Times New Roman" w:cs="Times New Roman"/>
          <w:sz w:val="28"/>
          <w:szCs w:val="28"/>
        </w:rPr>
        <w:t xml:space="preserve"> – питомі енерговитрати.</w:t>
      </w:r>
    </w:p>
    <w:p w14:paraId="49BBBFF4" w14:textId="2F99CD33" w:rsidR="008F5532" w:rsidRPr="001C7ED9" w:rsidRDefault="008F5532" w:rsidP="001F4D91">
      <w:pPr>
        <w:spacing w:after="0" w:line="276" w:lineRule="auto"/>
        <w:ind w:firstLine="709"/>
        <w:jc w:val="both"/>
        <w:rPr>
          <w:rFonts w:ascii="Times New Roman" w:hAnsi="Times New Roman" w:cs="Times New Roman"/>
          <w:iCs/>
          <w:sz w:val="28"/>
          <w:szCs w:val="28"/>
        </w:rPr>
      </w:pPr>
    </w:p>
    <w:p w14:paraId="53E443B3" w14:textId="77777777" w:rsidR="00C41E01" w:rsidRPr="001C7ED9" w:rsidRDefault="00C41E01"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sz w:val="28"/>
          <w:szCs w:val="28"/>
        </w:rPr>
        <w:t>Керування задає швидкість і положення робочих елементів, а реакцію процесу описують вимірюваннями:</w:t>
      </w:r>
    </w:p>
    <w:p w14:paraId="770611F3" w14:textId="6DDEA617" w:rsidR="00C41E01" w:rsidRPr="001C7ED9" w:rsidRDefault="00C41E01" w:rsidP="001F4D91">
      <w:pPr>
        <w:spacing w:after="0" w:line="276" w:lineRule="auto"/>
        <w:ind w:firstLine="709"/>
        <w:jc w:val="right"/>
        <w:rPr>
          <w:rFonts w:ascii="Times New Roman" w:hAnsi="Times New Roman" w:cs="Times New Roman"/>
          <w:sz w:val="28"/>
          <w:szCs w:val="28"/>
        </w:rPr>
      </w:pPr>
      <m:oMath>
        <m:r>
          <w:rPr>
            <w:rFonts w:ascii="Cambria Math" w:hAnsi="Cambria Math" w:cs="Times New Roman"/>
            <w:sz w:val="28"/>
            <w:szCs w:val="28"/>
          </w:rPr>
          <m:t>u(t) = [ω₍з₎(t), q₍з₎(t)]</m:t>
        </m:r>
      </m:oMath>
      <w:r w:rsidRPr="001C7ED9">
        <w:rPr>
          <w:rFonts w:ascii="Times New Roman" w:eastAsiaTheme="minorEastAsia" w:hAnsi="Times New Roman" w:cs="Times New Roman"/>
          <w:sz w:val="28"/>
          <w:szCs w:val="28"/>
        </w:rPr>
        <w:t xml:space="preserve">                                    (1)</w:t>
      </w:r>
    </w:p>
    <w:p w14:paraId="3EEB9502" w14:textId="099B2AB5" w:rsidR="00C41E01" w:rsidRPr="001C7ED9" w:rsidRDefault="00C41E01" w:rsidP="001F4D91">
      <w:pPr>
        <w:spacing w:after="0" w:line="276" w:lineRule="auto"/>
        <w:ind w:firstLine="709"/>
        <w:jc w:val="right"/>
        <w:rPr>
          <w:rFonts w:ascii="Times New Roman" w:hAnsi="Times New Roman" w:cs="Times New Roman"/>
          <w:sz w:val="28"/>
          <w:szCs w:val="28"/>
        </w:rPr>
      </w:pPr>
      <m:oMath>
        <m:r>
          <w:rPr>
            <w:rFonts w:ascii="Cambria Math" w:hAnsi="Cambria Math" w:cs="Times New Roman"/>
            <w:sz w:val="28"/>
            <w:szCs w:val="28"/>
          </w:rPr>
          <m:t>y(t) = [ω(t), q(t), M(t), P(t), z(t)]</m:t>
        </m:r>
      </m:oMath>
      <w:r w:rsidRPr="001C7ED9">
        <w:rPr>
          <w:rFonts w:ascii="Times New Roman" w:eastAsiaTheme="minorEastAsia" w:hAnsi="Times New Roman" w:cs="Times New Roman"/>
          <w:sz w:val="28"/>
          <w:szCs w:val="28"/>
        </w:rPr>
        <w:t xml:space="preserve">                             (2)</w:t>
      </w:r>
    </w:p>
    <w:p w14:paraId="6EC03FC5" w14:textId="729301E8" w:rsidR="00C41E01" w:rsidRPr="001C7ED9" w:rsidRDefault="00C41E01" w:rsidP="001F4D91">
      <w:pPr>
        <w:spacing w:after="0" w:line="276" w:lineRule="auto"/>
        <w:jc w:val="both"/>
        <w:rPr>
          <w:rFonts w:ascii="Times New Roman" w:hAnsi="Times New Roman" w:cs="Times New Roman"/>
          <w:sz w:val="28"/>
          <w:szCs w:val="28"/>
        </w:rPr>
      </w:pPr>
      <w:r w:rsidRPr="001C7ED9">
        <w:rPr>
          <w:rFonts w:ascii="Times New Roman" w:hAnsi="Times New Roman" w:cs="Times New Roman"/>
          <w:sz w:val="28"/>
          <w:szCs w:val="28"/>
        </w:rPr>
        <w:t xml:space="preserve">де </w:t>
      </w:r>
      <w:r w:rsidRPr="001C7ED9">
        <w:rPr>
          <w:rFonts w:ascii="Times New Roman" w:hAnsi="Times New Roman" w:cs="Times New Roman"/>
          <w:i/>
          <w:iCs/>
          <w:sz w:val="28"/>
          <w:szCs w:val="28"/>
        </w:rPr>
        <w:t>ω</w:t>
      </w:r>
      <w:r w:rsidRPr="001C7ED9">
        <w:rPr>
          <w:rFonts w:ascii="Times New Roman" w:hAnsi="Times New Roman" w:cs="Times New Roman"/>
          <w:sz w:val="28"/>
          <w:szCs w:val="28"/>
        </w:rPr>
        <w:t xml:space="preserve">, </w:t>
      </w:r>
      <w:r w:rsidRPr="001C7ED9">
        <w:rPr>
          <w:rFonts w:ascii="Times New Roman" w:hAnsi="Times New Roman" w:cs="Times New Roman"/>
          <w:i/>
          <w:iCs/>
          <w:sz w:val="28"/>
          <w:szCs w:val="28"/>
        </w:rPr>
        <w:t>q</w:t>
      </w:r>
      <w:r w:rsidRPr="001C7ED9">
        <w:rPr>
          <w:rFonts w:ascii="Times New Roman" w:hAnsi="Times New Roman" w:cs="Times New Roman"/>
          <w:sz w:val="28"/>
          <w:szCs w:val="28"/>
        </w:rPr>
        <w:t xml:space="preserve"> – фактичні швидкість і положення; M – крутний момент; </w:t>
      </w:r>
      <w:r w:rsidRPr="001C7ED9">
        <w:rPr>
          <w:rFonts w:ascii="Times New Roman" w:hAnsi="Times New Roman" w:cs="Times New Roman"/>
          <w:i/>
          <w:iCs/>
          <w:sz w:val="28"/>
          <w:szCs w:val="28"/>
        </w:rPr>
        <w:t>P</w:t>
      </w:r>
      <w:r w:rsidRPr="001C7ED9">
        <w:rPr>
          <w:rFonts w:ascii="Times New Roman" w:hAnsi="Times New Roman" w:cs="Times New Roman"/>
          <w:sz w:val="28"/>
          <w:szCs w:val="28"/>
        </w:rPr>
        <w:t xml:space="preserve"> – потужність; z – сигнал складу. Набір вимірювань залежить від оснащення; контури приводів включено до процесу змішування.</w:t>
      </w:r>
    </w:p>
    <w:p w14:paraId="605B64CC" w14:textId="0B0A4FCD" w:rsidR="00C41E01" w:rsidRPr="001C7ED9" w:rsidRDefault="00C41E01"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sz w:val="28"/>
          <w:szCs w:val="28"/>
        </w:rPr>
        <w:t xml:space="preserve">За партією </w:t>
      </w:r>
      <w:r w:rsidRPr="001C7ED9">
        <w:rPr>
          <w:rFonts w:ascii="Times New Roman" w:hAnsi="Times New Roman" w:cs="Times New Roman"/>
          <w:i/>
          <w:iCs/>
          <w:sz w:val="28"/>
          <w:szCs w:val="28"/>
        </w:rPr>
        <w:t>p</w:t>
      </w:r>
      <w:r w:rsidRPr="001C7ED9">
        <w:rPr>
          <w:rFonts w:ascii="Times New Roman" w:hAnsi="Times New Roman" w:cs="Times New Roman"/>
          <w:sz w:val="28"/>
          <w:szCs w:val="28"/>
        </w:rPr>
        <w:t xml:space="preserve">, впливами </w:t>
      </w:r>
      <w:r w:rsidRPr="001C7ED9">
        <w:rPr>
          <w:rFonts w:ascii="Times New Roman" w:hAnsi="Times New Roman" w:cs="Times New Roman"/>
          <w:i/>
          <w:iCs/>
          <w:sz w:val="28"/>
          <w:szCs w:val="28"/>
        </w:rPr>
        <w:t>u(t)</w:t>
      </w:r>
      <w:r w:rsidRPr="001C7ED9">
        <w:rPr>
          <w:rFonts w:ascii="Times New Roman" w:hAnsi="Times New Roman" w:cs="Times New Roman"/>
          <w:sz w:val="28"/>
          <w:szCs w:val="28"/>
        </w:rPr>
        <w:t xml:space="preserve">, вимірюваннями </w:t>
      </w:r>
      <w:r w:rsidRPr="001C7ED9">
        <w:rPr>
          <w:rFonts w:ascii="Times New Roman" w:hAnsi="Times New Roman" w:cs="Times New Roman"/>
          <w:i/>
          <w:iCs/>
          <w:sz w:val="28"/>
          <w:szCs w:val="28"/>
        </w:rPr>
        <w:t>y(t)</w:t>
      </w:r>
      <w:r w:rsidRPr="001C7ED9">
        <w:rPr>
          <w:rFonts w:ascii="Times New Roman" w:hAnsi="Times New Roman" w:cs="Times New Roman"/>
          <w:sz w:val="28"/>
          <w:szCs w:val="28"/>
        </w:rPr>
        <w:t xml:space="preserve"> і параметрами моделі </w:t>
      </w:r>
      <w:r w:rsidRPr="001C7ED9">
        <w:rPr>
          <w:rFonts w:ascii="Times New Roman" w:hAnsi="Times New Roman" w:cs="Times New Roman"/>
          <w:i/>
          <w:iCs/>
          <w:sz w:val="28"/>
          <w:szCs w:val="28"/>
        </w:rPr>
        <w:t>θ̂(t)</w:t>
      </w:r>
      <w:r w:rsidRPr="001C7ED9">
        <w:rPr>
          <w:rFonts w:ascii="Times New Roman" w:hAnsi="Times New Roman" w:cs="Times New Roman"/>
          <w:sz w:val="28"/>
          <w:szCs w:val="28"/>
        </w:rPr>
        <w:t xml:space="preserve"> формують оцінку стану </w:t>
      </w:r>
      <w:r w:rsidRPr="001C7ED9">
        <w:rPr>
          <w:rFonts w:ascii="Times New Roman" w:hAnsi="Times New Roman" w:cs="Times New Roman"/>
          <w:i/>
          <w:iCs/>
          <w:sz w:val="28"/>
          <w:szCs w:val="28"/>
        </w:rPr>
        <w:t>x̂(t)</w:t>
      </w:r>
      <w:r w:rsidRPr="001C7ED9">
        <w:rPr>
          <w:rFonts w:ascii="Times New Roman" w:hAnsi="Times New Roman" w:cs="Times New Roman"/>
          <w:sz w:val="28"/>
          <w:szCs w:val="28"/>
        </w:rPr>
        <w:t xml:space="preserve"> та прогноз </w:t>
      </w:r>
      <w:r w:rsidRPr="001C7ED9">
        <w:rPr>
          <w:rFonts w:ascii="Times New Roman" w:hAnsi="Times New Roman" w:cs="Times New Roman"/>
          <w:i/>
          <w:iCs/>
          <w:sz w:val="28"/>
          <w:szCs w:val="28"/>
        </w:rPr>
        <w:t>ŷ(t)</w:t>
      </w:r>
      <w:r w:rsidRPr="001C7ED9">
        <w:rPr>
          <w:rFonts w:ascii="Times New Roman" w:hAnsi="Times New Roman" w:cs="Times New Roman"/>
          <w:sz w:val="28"/>
          <w:szCs w:val="28"/>
        </w:rPr>
        <w:t xml:space="preserve">. Стан </w:t>
      </w:r>
      <w:r w:rsidRPr="001C7ED9">
        <w:rPr>
          <w:rFonts w:ascii="Times New Roman" w:hAnsi="Times New Roman" w:cs="Times New Roman"/>
          <w:i/>
          <w:iCs/>
          <w:sz w:val="28"/>
          <w:szCs w:val="28"/>
        </w:rPr>
        <w:t>x(t)</w:t>
      </w:r>
      <w:r w:rsidRPr="001C7ED9">
        <w:rPr>
          <w:rFonts w:ascii="Times New Roman" w:hAnsi="Times New Roman" w:cs="Times New Roman"/>
          <w:sz w:val="28"/>
          <w:szCs w:val="28"/>
        </w:rPr>
        <w:t xml:space="preserve"> відображає розподіл і структуру матеріалу, а </w:t>
      </w:r>
      <w:r w:rsidRPr="001C7ED9">
        <w:rPr>
          <w:rFonts w:ascii="Times New Roman" w:hAnsi="Times New Roman" w:cs="Times New Roman"/>
          <w:i/>
          <w:iCs/>
          <w:sz w:val="28"/>
          <w:szCs w:val="28"/>
        </w:rPr>
        <w:t>θ</w:t>
      </w:r>
      <w:r w:rsidRPr="001C7ED9">
        <w:rPr>
          <w:rFonts w:ascii="Times New Roman" w:hAnsi="Times New Roman" w:cs="Times New Roman"/>
          <w:sz w:val="28"/>
          <w:szCs w:val="28"/>
        </w:rPr>
        <w:t xml:space="preserve"> – закономірності його руху та взаємодії.</w:t>
      </w:r>
    </w:p>
    <w:p w14:paraId="2D36C63E" w14:textId="77777777" w:rsidR="00C41E01" w:rsidRPr="001C7ED9" w:rsidRDefault="00C41E01"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sz w:val="28"/>
          <w:szCs w:val="28"/>
        </w:rPr>
        <w:t xml:space="preserve">Однорідність </w:t>
      </w:r>
      <w:r w:rsidRPr="001C7ED9">
        <w:rPr>
          <w:rFonts w:ascii="Times New Roman" w:hAnsi="Times New Roman" w:cs="Times New Roman"/>
          <w:i/>
          <w:iCs/>
          <w:sz w:val="28"/>
          <w:szCs w:val="28"/>
        </w:rPr>
        <w:t>CV</w:t>
      </w:r>
      <w:r w:rsidRPr="001C7ED9">
        <w:rPr>
          <w:rFonts w:ascii="Times New Roman" w:hAnsi="Times New Roman" w:cs="Times New Roman"/>
          <w:sz w:val="28"/>
          <w:szCs w:val="28"/>
        </w:rPr>
        <w:t xml:space="preserve"> і структуру </w:t>
      </w:r>
      <w:r w:rsidRPr="001C7ED9">
        <w:rPr>
          <w:rFonts w:ascii="Times New Roman" w:hAnsi="Times New Roman" w:cs="Times New Roman"/>
          <w:i/>
          <w:iCs/>
          <w:sz w:val="28"/>
          <w:szCs w:val="28"/>
        </w:rPr>
        <w:t>S</w:t>
      </w:r>
      <w:r w:rsidRPr="001C7ED9">
        <w:rPr>
          <w:rFonts w:ascii="Times New Roman" w:hAnsi="Times New Roman" w:cs="Times New Roman"/>
          <w:sz w:val="28"/>
          <w:szCs w:val="28"/>
        </w:rPr>
        <w:t xml:space="preserve"> можна оцінювати за непрямими сигналами лише після експериментальної перевірки їх зв’язку з вимірюваннями: стабілізація навантаження сама по собі однорідності не доводить. Незалежний контроль пробами потрібний для калібрування моделі.</w:t>
      </w:r>
    </w:p>
    <w:p w14:paraId="29601416" w14:textId="77777777" w:rsidR="00C41E01" w:rsidRPr="001C7ED9" w:rsidRDefault="00C41E01"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sz w:val="28"/>
          <w:szCs w:val="28"/>
        </w:rPr>
        <w:t>Адаптація уточнює параметри за похибкою прогнозу та історією даних; за недостатньої інформативності параметри не оновлюють:</w:t>
      </w:r>
    </w:p>
    <w:p w14:paraId="65EF687B" w14:textId="033DA728" w:rsidR="00C41E01" w:rsidRPr="001C7ED9" w:rsidRDefault="00C41E01" w:rsidP="001F4D91">
      <w:pPr>
        <w:spacing w:after="0" w:line="276" w:lineRule="auto"/>
        <w:ind w:firstLine="709"/>
        <w:jc w:val="right"/>
        <w:rPr>
          <w:rFonts w:ascii="Times New Roman" w:hAnsi="Times New Roman" w:cs="Times New Roman"/>
          <w:sz w:val="28"/>
          <w:szCs w:val="28"/>
        </w:rPr>
      </w:pPr>
      <m:oMath>
        <m:r>
          <w:rPr>
            <w:rFonts w:ascii="Cambria Math" w:hAnsi="Cambria Math" w:cs="Times New Roman"/>
            <w:sz w:val="28"/>
            <w:szCs w:val="28"/>
          </w:rPr>
          <m:t>ε(t) = y(t) - ŷ(t)</m:t>
        </m:r>
      </m:oMath>
      <w:r w:rsidRPr="001C7ED9">
        <w:rPr>
          <w:rFonts w:ascii="Times New Roman" w:eastAsiaTheme="minorEastAsia" w:hAnsi="Times New Roman" w:cs="Times New Roman"/>
          <w:sz w:val="28"/>
          <w:szCs w:val="28"/>
        </w:rPr>
        <w:t xml:space="preserve">                                         (3)</w:t>
      </w:r>
    </w:p>
    <w:p w14:paraId="2C882461" w14:textId="77777777" w:rsidR="00C41E01" w:rsidRPr="001C7ED9" w:rsidRDefault="00C41E01"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sz w:val="28"/>
          <w:szCs w:val="28"/>
        </w:rPr>
        <w:t>Режим обирають для мінімізації питомих енерговитрат за дотримання вимог до однорідності, структури та керувань:</w:t>
      </w:r>
    </w:p>
    <w:p w14:paraId="7DE87414" w14:textId="347D4CA8" w:rsidR="00C41E01" w:rsidRPr="001C7ED9" w:rsidRDefault="00C41E01" w:rsidP="001F4D91">
      <w:pPr>
        <w:spacing w:after="0" w:line="276" w:lineRule="auto"/>
        <w:ind w:firstLine="709"/>
        <w:jc w:val="right"/>
        <w:rPr>
          <w:rFonts w:ascii="Times New Roman" w:hAnsi="Times New Roman" w:cs="Times New Roman"/>
          <w:sz w:val="28"/>
          <w:szCs w:val="28"/>
        </w:rPr>
      </w:pPr>
      <m:oMath>
        <m:r>
          <w:rPr>
            <w:rFonts w:ascii="Cambria Math" w:hAnsi="Cambria Math" w:cs="Times New Roman"/>
            <w:sz w:val="28"/>
            <w:szCs w:val="28"/>
          </w:rPr>
          <m:t>e(t_f) = (1/m) ∫₀ᵗᶠ P_Σ(t) dt  →  min</m:t>
        </m:r>
      </m:oMath>
      <w:r w:rsidRPr="001C7ED9">
        <w:rPr>
          <w:rFonts w:ascii="Times New Roman" w:eastAsiaTheme="minorEastAsia" w:hAnsi="Times New Roman" w:cs="Times New Roman"/>
          <w:sz w:val="28"/>
          <w:szCs w:val="28"/>
        </w:rPr>
        <w:t xml:space="preserve">                       (4)</w:t>
      </w:r>
    </w:p>
    <w:p w14:paraId="59BA111C" w14:textId="1D1858BC" w:rsidR="00C41E01" w:rsidRPr="001C7ED9" w:rsidRDefault="00C41E01" w:rsidP="001F4D91">
      <w:pPr>
        <w:spacing w:after="0" w:line="276" w:lineRule="auto"/>
        <w:ind w:firstLine="709"/>
        <w:jc w:val="right"/>
        <w:rPr>
          <w:rFonts w:ascii="Times New Roman" w:hAnsi="Times New Roman" w:cs="Times New Roman"/>
          <w:sz w:val="28"/>
          <w:szCs w:val="28"/>
        </w:rPr>
      </w:pPr>
      <m:oMath>
        <m:r>
          <w:rPr>
            <w:rFonts w:ascii="Cambria Math" w:hAnsi="Cambria Math" w:cs="Times New Roman"/>
            <w:sz w:val="28"/>
            <w:szCs w:val="28"/>
          </w:rPr>
          <m:t xml:space="preserve">CV(t_f) ≤ CV₍доп₎;  S(t_f) ∈ </m:t>
        </m:r>
        <m:r>
          <m:rPr>
            <m:scr m:val="script"/>
          </m:rPr>
          <w:rPr>
            <w:rFonts w:ascii="Cambria Math" w:hAnsi="Cambria Math" w:cs="Times New Roman"/>
            <w:sz w:val="28"/>
            <w:szCs w:val="28"/>
          </w:rPr>
          <m:t xml:space="preserve">S₍доп₎;  </m:t>
        </m:r>
        <m:r>
          <w:rPr>
            <w:rFonts w:ascii="Cambria Math" w:hAnsi="Cambria Math" w:cs="Times New Roman"/>
            <w:sz w:val="28"/>
            <w:szCs w:val="28"/>
          </w:rPr>
          <m:t xml:space="preserve">u(t) ∈ </m:t>
        </m:r>
        <m:r>
          <m:rPr>
            <m:scr m:val="script"/>
          </m:rPr>
          <w:rPr>
            <w:rFonts w:ascii="Cambria Math" w:hAnsi="Cambria Math" w:cs="Times New Roman"/>
            <w:sz w:val="28"/>
            <w:szCs w:val="28"/>
          </w:rPr>
          <m:t>U₍доп₎</m:t>
        </m:r>
      </m:oMath>
      <w:r w:rsidRPr="001C7ED9">
        <w:rPr>
          <w:rFonts w:ascii="Times New Roman" w:eastAsiaTheme="minorEastAsia" w:hAnsi="Times New Roman" w:cs="Times New Roman"/>
          <w:sz w:val="28"/>
          <w:szCs w:val="28"/>
        </w:rPr>
        <w:t xml:space="preserve">               (5)</w:t>
      </w:r>
    </w:p>
    <w:p w14:paraId="522F4419" w14:textId="7C65D634" w:rsidR="00C41E01" w:rsidRPr="001C7ED9" w:rsidRDefault="00C41E01" w:rsidP="001F4D91">
      <w:pPr>
        <w:spacing w:after="0" w:line="276" w:lineRule="auto"/>
        <w:jc w:val="both"/>
        <w:rPr>
          <w:rFonts w:ascii="Times New Roman" w:hAnsi="Times New Roman" w:cs="Times New Roman"/>
          <w:sz w:val="28"/>
          <w:szCs w:val="28"/>
        </w:rPr>
      </w:pPr>
      <w:r w:rsidRPr="001C7ED9">
        <w:rPr>
          <w:rFonts w:ascii="Times New Roman" w:hAnsi="Times New Roman" w:cs="Times New Roman"/>
          <w:sz w:val="28"/>
          <w:szCs w:val="28"/>
        </w:rPr>
        <w:lastRenderedPageBreak/>
        <w:t xml:space="preserve">де </w:t>
      </w:r>
      <w:r w:rsidRPr="001C7ED9">
        <w:rPr>
          <w:rFonts w:ascii="Times New Roman" w:hAnsi="Times New Roman" w:cs="Times New Roman"/>
          <w:i/>
          <w:iCs/>
          <w:sz w:val="28"/>
          <w:szCs w:val="28"/>
        </w:rPr>
        <w:t>t_f</w:t>
      </w:r>
      <w:r w:rsidRPr="001C7ED9">
        <w:rPr>
          <w:rFonts w:ascii="Times New Roman" w:hAnsi="Times New Roman" w:cs="Times New Roman"/>
          <w:sz w:val="28"/>
          <w:szCs w:val="28"/>
        </w:rPr>
        <w:t xml:space="preserve"> – тривалість циклу, </w:t>
      </w:r>
      <w:r w:rsidRPr="001C7ED9">
        <w:rPr>
          <w:rFonts w:ascii="Times New Roman" w:hAnsi="Times New Roman" w:cs="Times New Roman"/>
          <w:i/>
          <w:iCs/>
          <w:sz w:val="28"/>
          <w:szCs w:val="28"/>
        </w:rPr>
        <w:t>m</w:t>
      </w:r>
      <w:r w:rsidRPr="001C7ED9">
        <w:rPr>
          <w:rFonts w:ascii="Times New Roman" w:hAnsi="Times New Roman" w:cs="Times New Roman"/>
          <w:sz w:val="28"/>
          <w:szCs w:val="28"/>
        </w:rPr>
        <w:t xml:space="preserve"> – маса партії, </w:t>
      </w:r>
      <w:r w:rsidRPr="001C7ED9">
        <w:rPr>
          <w:rFonts w:ascii="Times New Roman" w:hAnsi="Times New Roman" w:cs="Times New Roman"/>
          <w:i/>
          <w:iCs/>
          <w:sz w:val="28"/>
          <w:szCs w:val="28"/>
        </w:rPr>
        <w:t>P_Σ</w:t>
      </w:r>
      <w:r w:rsidRPr="001C7ED9">
        <w:rPr>
          <w:rFonts w:ascii="Times New Roman" w:hAnsi="Times New Roman" w:cs="Times New Roman"/>
          <w:sz w:val="28"/>
          <w:szCs w:val="28"/>
        </w:rPr>
        <w:t xml:space="preserve"> – сумарна потужність врахованих приводів. Завершення циклу визначають за якістю з урахуванням похибки оцінювання, наближення до меж структури вимагає коригування, а точність і енергоефективність схеми належить перевірити експериментально.</w:t>
      </w:r>
    </w:p>
    <w:p w14:paraId="6C5D52AB" w14:textId="080CE8DE" w:rsidR="000E070B" w:rsidRDefault="007C4FC6" w:rsidP="001F4D91">
      <w:pPr>
        <w:spacing w:after="0" w:line="276" w:lineRule="auto"/>
        <w:ind w:firstLine="709"/>
        <w:jc w:val="both"/>
        <w:rPr>
          <w:rFonts w:ascii="Times New Roman" w:hAnsi="Times New Roman" w:cs="Times New Roman"/>
          <w:sz w:val="28"/>
          <w:szCs w:val="28"/>
        </w:rPr>
      </w:pPr>
      <w:r w:rsidRPr="001C7ED9">
        <w:rPr>
          <w:rFonts w:ascii="Times New Roman" w:hAnsi="Times New Roman" w:cs="Times New Roman"/>
          <w:b/>
          <w:bCs/>
          <w:sz w:val="28"/>
          <w:szCs w:val="28"/>
          <w:lang w:val="uk-UA"/>
        </w:rPr>
        <w:t xml:space="preserve">Висновки. </w:t>
      </w:r>
      <w:r w:rsidR="00024727" w:rsidRPr="00024727">
        <w:rPr>
          <w:rFonts w:ascii="Times New Roman" w:hAnsi="Times New Roman" w:cs="Times New Roman"/>
          <w:sz w:val="28"/>
          <w:szCs w:val="28"/>
        </w:rPr>
        <w:t>Обґрунтовано концепцію адаптивного керування, за якої режим змішування змінюють відповідно до оціненого стану матеріалу, прогнозованого поліпшення якості суміші та пов’язаних із цим енерговитрат. Її реалізація потребує експериментального встановлення зв’язку між доступними вимірюваннями й показниками якості, оскільки достовірність такої оцінки визначає обґрунтованість керувальних рішень.</w:t>
      </w:r>
    </w:p>
    <w:p w14:paraId="3C69BB0B" w14:textId="77777777" w:rsidR="00024727" w:rsidRPr="00024727" w:rsidRDefault="00024727" w:rsidP="001F4D91">
      <w:pPr>
        <w:spacing w:after="0" w:line="276" w:lineRule="auto"/>
        <w:ind w:firstLine="709"/>
        <w:jc w:val="both"/>
        <w:rPr>
          <w:rFonts w:ascii="Times New Roman" w:hAnsi="Times New Roman" w:cs="Times New Roman"/>
          <w:sz w:val="28"/>
          <w:szCs w:val="28"/>
          <w:lang w:val="uk-UA"/>
        </w:rPr>
      </w:pPr>
    </w:p>
    <w:p w14:paraId="0ADB2AC9" w14:textId="05AA2BC2" w:rsidR="007C4FC6" w:rsidRPr="001C7ED9" w:rsidRDefault="007C4FC6" w:rsidP="001F4D91">
      <w:pPr>
        <w:spacing w:after="0" w:line="276" w:lineRule="auto"/>
        <w:ind w:firstLine="709"/>
        <w:jc w:val="center"/>
        <w:rPr>
          <w:rFonts w:ascii="Times New Roman" w:hAnsi="Times New Roman" w:cs="Times New Roman"/>
          <w:b/>
          <w:bCs/>
          <w:sz w:val="28"/>
          <w:szCs w:val="28"/>
          <w:lang w:val="uk-UA"/>
        </w:rPr>
      </w:pPr>
      <w:r w:rsidRPr="001C7ED9">
        <w:rPr>
          <w:rFonts w:ascii="Times New Roman" w:hAnsi="Times New Roman" w:cs="Times New Roman"/>
          <w:b/>
          <w:bCs/>
          <w:sz w:val="28"/>
          <w:szCs w:val="28"/>
          <w:lang w:val="uk-UA"/>
        </w:rPr>
        <w:t>Список використаних джерел</w:t>
      </w:r>
    </w:p>
    <w:p w14:paraId="0BBD261A" w14:textId="2D70D7D6" w:rsidR="00C9124F" w:rsidRPr="001C7ED9" w:rsidRDefault="00C9124F" w:rsidP="001F4D91">
      <w:pPr>
        <w:pStyle w:val="a"/>
        <w:numPr>
          <w:ilvl w:val="0"/>
          <w:numId w:val="3"/>
        </w:numPr>
        <w:tabs>
          <w:tab w:val="left" w:pos="993"/>
        </w:tabs>
        <w:spacing w:after="0"/>
        <w:ind w:left="0" w:firstLine="709"/>
        <w:contextualSpacing w:val="0"/>
        <w:jc w:val="both"/>
        <w:rPr>
          <w:rFonts w:ascii="Times New Roman" w:hAnsi="Times New Roman" w:cs="Times New Roman"/>
          <w:sz w:val="28"/>
          <w:szCs w:val="28"/>
          <w:lang w:val="ru-RU"/>
        </w:rPr>
      </w:pPr>
      <w:r w:rsidRPr="001C7ED9">
        <w:rPr>
          <w:rFonts w:ascii="Times New Roman" w:hAnsi="Times New Roman" w:cs="Times New Roman"/>
          <w:sz w:val="28"/>
          <w:szCs w:val="28"/>
        </w:rPr>
        <w:t xml:space="preserve">Bridgwater J. Mixing of powders and granular materials by mechanical means – A perspective. </w:t>
      </w:r>
      <w:proofErr w:type="spellStart"/>
      <w:r w:rsidRPr="001C7ED9">
        <w:rPr>
          <w:rFonts w:ascii="Times New Roman" w:hAnsi="Times New Roman" w:cs="Times New Roman"/>
          <w:i/>
          <w:iCs/>
          <w:sz w:val="28"/>
          <w:szCs w:val="28"/>
        </w:rPr>
        <w:t>Particuology</w:t>
      </w:r>
      <w:proofErr w:type="spellEnd"/>
      <w:r w:rsidRPr="001C7ED9">
        <w:rPr>
          <w:rFonts w:ascii="Times New Roman" w:hAnsi="Times New Roman" w:cs="Times New Roman"/>
          <w:sz w:val="28"/>
          <w:szCs w:val="28"/>
        </w:rPr>
        <w:t>. 2012. Vol. 10, № 4. P. 397</w:t>
      </w:r>
      <w:r w:rsidRPr="001C7ED9">
        <w:rPr>
          <w:rFonts w:ascii="Times New Roman" w:hAnsi="Times New Roman" w:cs="Times New Roman"/>
          <w:sz w:val="28"/>
          <w:szCs w:val="28"/>
          <w:lang w:val="ru-RU"/>
        </w:rPr>
        <w:t>-</w:t>
      </w:r>
      <w:r w:rsidRPr="001C7ED9">
        <w:rPr>
          <w:rFonts w:ascii="Times New Roman" w:hAnsi="Times New Roman" w:cs="Times New Roman"/>
          <w:sz w:val="28"/>
          <w:szCs w:val="28"/>
        </w:rPr>
        <w:t xml:space="preserve">427. DOI: </w:t>
      </w:r>
      <w:hyperlink r:id="rId6" w:history="1">
        <w:r w:rsidRPr="001C7ED9">
          <w:rPr>
            <w:rStyle w:val="a4"/>
            <w:rFonts w:ascii="Times New Roman" w:hAnsi="Times New Roman" w:cs="Times New Roman"/>
            <w:sz w:val="28"/>
            <w:szCs w:val="28"/>
          </w:rPr>
          <w:t>10.1016/j.partic.2012.06.002</w:t>
        </w:r>
      </w:hyperlink>
      <w:r w:rsidRPr="001C7ED9">
        <w:rPr>
          <w:rFonts w:ascii="Times New Roman" w:hAnsi="Times New Roman" w:cs="Times New Roman"/>
          <w:sz w:val="28"/>
          <w:szCs w:val="28"/>
        </w:rPr>
        <w:t xml:space="preserve">. </w:t>
      </w:r>
    </w:p>
    <w:p w14:paraId="20E480BC" w14:textId="067D03EA" w:rsidR="00AA5BEE" w:rsidRPr="001C7ED9" w:rsidRDefault="00C9124F" w:rsidP="001F4D91">
      <w:pPr>
        <w:pStyle w:val="a"/>
        <w:numPr>
          <w:ilvl w:val="0"/>
          <w:numId w:val="3"/>
        </w:numPr>
        <w:tabs>
          <w:tab w:val="num" w:pos="567"/>
          <w:tab w:val="left" w:pos="993"/>
        </w:tabs>
        <w:spacing w:after="0"/>
        <w:ind w:left="0" w:firstLine="709"/>
        <w:contextualSpacing w:val="0"/>
        <w:jc w:val="both"/>
        <w:rPr>
          <w:rFonts w:ascii="Times New Roman" w:hAnsi="Times New Roman" w:cs="Times New Roman"/>
          <w:sz w:val="28"/>
          <w:szCs w:val="28"/>
        </w:rPr>
      </w:pPr>
      <w:r w:rsidRPr="001C7ED9">
        <w:rPr>
          <w:rFonts w:ascii="Times New Roman" w:hAnsi="Times New Roman" w:cs="Times New Roman"/>
          <w:sz w:val="28"/>
          <w:szCs w:val="28"/>
        </w:rPr>
        <w:t xml:space="preserve">Costa A., Agazzi A., Perricone V., </w:t>
      </w:r>
      <w:proofErr w:type="spellStart"/>
      <w:r w:rsidRPr="001C7ED9">
        <w:rPr>
          <w:rFonts w:ascii="Times New Roman" w:hAnsi="Times New Roman" w:cs="Times New Roman"/>
          <w:sz w:val="28"/>
          <w:szCs w:val="28"/>
        </w:rPr>
        <w:t>Savoini</w:t>
      </w:r>
      <w:proofErr w:type="spellEnd"/>
      <w:r w:rsidRPr="001C7ED9">
        <w:rPr>
          <w:rFonts w:ascii="Times New Roman" w:hAnsi="Times New Roman" w:cs="Times New Roman"/>
          <w:sz w:val="28"/>
          <w:szCs w:val="28"/>
        </w:rPr>
        <w:t xml:space="preserve"> G., Lazzari M., Nava S., Tangorra F. M. Influence of different loading levels, cutting and mixing times on total mixed ration (TMR) homogeneity in a vertical mixing wagon during distribution: a case study. </w:t>
      </w:r>
      <w:r w:rsidRPr="001C7ED9">
        <w:rPr>
          <w:rFonts w:ascii="Times New Roman" w:hAnsi="Times New Roman" w:cs="Times New Roman"/>
          <w:i/>
          <w:iCs/>
          <w:sz w:val="28"/>
          <w:szCs w:val="28"/>
        </w:rPr>
        <w:t>Italian Journal of Animal Science</w:t>
      </w:r>
      <w:r w:rsidRPr="001C7ED9">
        <w:rPr>
          <w:rFonts w:ascii="Times New Roman" w:hAnsi="Times New Roman" w:cs="Times New Roman"/>
          <w:sz w:val="28"/>
          <w:szCs w:val="28"/>
        </w:rPr>
        <w:t>. 2019. Vol. 18, № 1. P. 1093</w:t>
      </w:r>
      <w:r w:rsidRPr="001C7ED9">
        <w:rPr>
          <w:rFonts w:ascii="Times New Roman" w:hAnsi="Times New Roman" w:cs="Times New Roman"/>
          <w:sz w:val="28"/>
          <w:szCs w:val="28"/>
          <w:lang w:val="ru-RU"/>
        </w:rPr>
        <w:t>-</w:t>
      </w:r>
      <w:r w:rsidRPr="001C7ED9">
        <w:rPr>
          <w:rFonts w:ascii="Times New Roman" w:hAnsi="Times New Roman" w:cs="Times New Roman"/>
          <w:sz w:val="28"/>
          <w:szCs w:val="28"/>
        </w:rPr>
        <w:t xml:space="preserve">1098. DOI: </w:t>
      </w:r>
      <w:hyperlink r:id="rId7" w:history="1">
        <w:r w:rsidRPr="001C7ED9">
          <w:rPr>
            <w:rStyle w:val="a4"/>
            <w:rFonts w:ascii="Times New Roman" w:hAnsi="Times New Roman" w:cs="Times New Roman"/>
            <w:sz w:val="28"/>
            <w:szCs w:val="28"/>
          </w:rPr>
          <w:t>10.1080/1828051X.2019.1618742</w:t>
        </w:r>
      </w:hyperlink>
      <w:r w:rsidRPr="001C7ED9">
        <w:rPr>
          <w:rFonts w:ascii="Times New Roman" w:hAnsi="Times New Roman" w:cs="Times New Roman"/>
          <w:sz w:val="28"/>
          <w:szCs w:val="28"/>
        </w:rPr>
        <w:t>.</w:t>
      </w:r>
    </w:p>
    <w:sectPr w:rsidR="00AA5BEE" w:rsidRPr="001C7ED9" w:rsidSect="009C09BA">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980FEAA"/>
    <w:lvl w:ilvl="0">
      <w:start w:val="1"/>
      <w:numFmt w:val="decimal"/>
      <w:pStyle w:val="a"/>
      <w:lvlText w:val="%1."/>
      <w:lvlJc w:val="left"/>
      <w:pPr>
        <w:tabs>
          <w:tab w:val="num" w:pos="360"/>
        </w:tabs>
        <w:ind w:left="360" w:hanging="360"/>
      </w:pPr>
    </w:lvl>
  </w:abstractNum>
  <w:abstractNum w:abstractNumId="1" w15:restartNumberingAfterBreak="0">
    <w:nsid w:val="1F7F1408"/>
    <w:multiLevelType w:val="multilevel"/>
    <w:tmpl w:val="67081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750266"/>
    <w:multiLevelType w:val="hybridMultilevel"/>
    <w:tmpl w:val="639E1A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057122154">
    <w:abstractNumId w:val="1"/>
  </w:num>
  <w:num w:numId="2" w16cid:durableId="223569632">
    <w:abstractNumId w:val="0"/>
  </w:num>
  <w:num w:numId="3" w16cid:durableId="1493061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07A"/>
    <w:rsid w:val="00024727"/>
    <w:rsid w:val="00027161"/>
    <w:rsid w:val="000515BE"/>
    <w:rsid w:val="00053F45"/>
    <w:rsid w:val="00061FE4"/>
    <w:rsid w:val="00066448"/>
    <w:rsid w:val="000B16B1"/>
    <w:rsid w:val="000D66B3"/>
    <w:rsid w:val="000E070B"/>
    <w:rsid w:val="00105C67"/>
    <w:rsid w:val="00107E67"/>
    <w:rsid w:val="001460CE"/>
    <w:rsid w:val="00192CC8"/>
    <w:rsid w:val="00196AD2"/>
    <w:rsid w:val="001A1010"/>
    <w:rsid w:val="001C7ED9"/>
    <w:rsid w:val="001D0BA3"/>
    <w:rsid w:val="001E19B0"/>
    <w:rsid w:val="001F4D91"/>
    <w:rsid w:val="00203544"/>
    <w:rsid w:val="00221586"/>
    <w:rsid w:val="00223DFF"/>
    <w:rsid w:val="0024482B"/>
    <w:rsid w:val="002724F2"/>
    <w:rsid w:val="00272A4D"/>
    <w:rsid w:val="002D7293"/>
    <w:rsid w:val="00355997"/>
    <w:rsid w:val="00371738"/>
    <w:rsid w:val="003756ED"/>
    <w:rsid w:val="00392E57"/>
    <w:rsid w:val="00397062"/>
    <w:rsid w:val="003A3C4A"/>
    <w:rsid w:val="004B1ED6"/>
    <w:rsid w:val="004E4615"/>
    <w:rsid w:val="00567F05"/>
    <w:rsid w:val="00596827"/>
    <w:rsid w:val="005A1A82"/>
    <w:rsid w:val="005C62D4"/>
    <w:rsid w:val="005D0655"/>
    <w:rsid w:val="005E3557"/>
    <w:rsid w:val="006025CE"/>
    <w:rsid w:val="00603A60"/>
    <w:rsid w:val="0067437F"/>
    <w:rsid w:val="006831E5"/>
    <w:rsid w:val="006A689E"/>
    <w:rsid w:val="006A68B0"/>
    <w:rsid w:val="006D2EAA"/>
    <w:rsid w:val="006D359D"/>
    <w:rsid w:val="006E43EA"/>
    <w:rsid w:val="006F701F"/>
    <w:rsid w:val="0070215B"/>
    <w:rsid w:val="007A0B11"/>
    <w:rsid w:val="007C477A"/>
    <w:rsid w:val="007C4FC6"/>
    <w:rsid w:val="007C707A"/>
    <w:rsid w:val="007D5FAB"/>
    <w:rsid w:val="007E538D"/>
    <w:rsid w:val="008062DA"/>
    <w:rsid w:val="00823AE4"/>
    <w:rsid w:val="00856745"/>
    <w:rsid w:val="0085779C"/>
    <w:rsid w:val="00892AA4"/>
    <w:rsid w:val="008A1877"/>
    <w:rsid w:val="008A4AEA"/>
    <w:rsid w:val="008A7E3E"/>
    <w:rsid w:val="008C3C54"/>
    <w:rsid w:val="008F5532"/>
    <w:rsid w:val="009021F2"/>
    <w:rsid w:val="009056F9"/>
    <w:rsid w:val="00927D6C"/>
    <w:rsid w:val="00946C40"/>
    <w:rsid w:val="0095231E"/>
    <w:rsid w:val="00960F30"/>
    <w:rsid w:val="00975ECD"/>
    <w:rsid w:val="009A0063"/>
    <w:rsid w:val="009C09BA"/>
    <w:rsid w:val="009C17E9"/>
    <w:rsid w:val="009E49CB"/>
    <w:rsid w:val="00A03F71"/>
    <w:rsid w:val="00A1336D"/>
    <w:rsid w:val="00AA5BEE"/>
    <w:rsid w:val="00AA67E3"/>
    <w:rsid w:val="00AB3EB3"/>
    <w:rsid w:val="00AF7CFF"/>
    <w:rsid w:val="00B40964"/>
    <w:rsid w:val="00B51B44"/>
    <w:rsid w:val="00B62C7A"/>
    <w:rsid w:val="00BC7295"/>
    <w:rsid w:val="00BE1999"/>
    <w:rsid w:val="00BF33A9"/>
    <w:rsid w:val="00C17D21"/>
    <w:rsid w:val="00C33603"/>
    <w:rsid w:val="00C41E01"/>
    <w:rsid w:val="00C7444A"/>
    <w:rsid w:val="00C77A08"/>
    <w:rsid w:val="00C80210"/>
    <w:rsid w:val="00C9124F"/>
    <w:rsid w:val="00C94850"/>
    <w:rsid w:val="00C96C91"/>
    <w:rsid w:val="00CB2CB6"/>
    <w:rsid w:val="00CE64F6"/>
    <w:rsid w:val="00CE7D25"/>
    <w:rsid w:val="00D65FC6"/>
    <w:rsid w:val="00D713DA"/>
    <w:rsid w:val="00D8158A"/>
    <w:rsid w:val="00D844E3"/>
    <w:rsid w:val="00DB0989"/>
    <w:rsid w:val="00DE0FEF"/>
    <w:rsid w:val="00E1113B"/>
    <w:rsid w:val="00E33B66"/>
    <w:rsid w:val="00E345C2"/>
    <w:rsid w:val="00E37354"/>
    <w:rsid w:val="00E375E5"/>
    <w:rsid w:val="00E86182"/>
    <w:rsid w:val="00EA6469"/>
    <w:rsid w:val="00EA7854"/>
    <w:rsid w:val="00EB4FF1"/>
    <w:rsid w:val="00F03A71"/>
    <w:rsid w:val="00F1726A"/>
    <w:rsid w:val="00F255D5"/>
    <w:rsid w:val="00F269F4"/>
    <w:rsid w:val="00F370D1"/>
    <w:rsid w:val="00F44C73"/>
    <w:rsid w:val="00F9764A"/>
    <w:rsid w:val="00FD2864"/>
    <w:rsid w:val="00FD6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9C5BC"/>
  <w15:chartTrackingRefBased/>
  <w15:docId w15:val="{F70C65D0-999E-46DC-A632-F70363BC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noProo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2D7293"/>
    <w:rPr>
      <w:color w:val="0000FF"/>
      <w:u w:val="single"/>
    </w:rPr>
  </w:style>
  <w:style w:type="table" w:styleId="a5">
    <w:name w:val="Table Grid"/>
    <w:basedOn w:val="a2"/>
    <w:uiPriority w:val="39"/>
    <w:rsid w:val="001E1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Number"/>
    <w:basedOn w:val="a0"/>
    <w:uiPriority w:val="99"/>
    <w:unhideWhenUsed/>
    <w:rsid w:val="00F370D1"/>
    <w:pPr>
      <w:numPr>
        <w:numId w:val="2"/>
      </w:numPr>
      <w:tabs>
        <w:tab w:val="clear" w:pos="360"/>
      </w:tabs>
      <w:spacing w:after="200" w:line="276" w:lineRule="auto"/>
      <w:ind w:left="0" w:firstLine="0"/>
      <w:contextualSpacing/>
    </w:pPr>
    <w:rPr>
      <w:rFonts w:eastAsiaTheme="minorEastAsia"/>
      <w:noProof w:val="0"/>
      <w:lang w:val="en-US"/>
    </w:rPr>
  </w:style>
  <w:style w:type="character" w:styleId="a6">
    <w:name w:val="Unresolved Mention"/>
    <w:basedOn w:val="a1"/>
    <w:uiPriority w:val="99"/>
    <w:semiHidden/>
    <w:unhideWhenUsed/>
    <w:rsid w:val="00F370D1"/>
    <w:rPr>
      <w:color w:val="605E5C"/>
      <w:shd w:val="clear" w:color="auto" w:fill="E1DFDD"/>
    </w:rPr>
  </w:style>
  <w:style w:type="character" w:styleId="a7">
    <w:name w:val="FollowedHyperlink"/>
    <w:basedOn w:val="a1"/>
    <w:uiPriority w:val="99"/>
    <w:semiHidden/>
    <w:unhideWhenUsed/>
    <w:rsid w:val="006E43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8776">
      <w:bodyDiv w:val="1"/>
      <w:marLeft w:val="0"/>
      <w:marRight w:val="0"/>
      <w:marTop w:val="0"/>
      <w:marBottom w:val="0"/>
      <w:divBdr>
        <w:top w:val="none" w:sz="0" w:space="0" w:color="auto"/>
        <w:left w:val="none" w:sz="0" w:space="0" w:color="auto"/>
        <w:bottom w:val="none" w:sz="0" w:space="0" w:color="auto"/>
        <w:right w:val="none" w:sz="0" w:space="0" w:color="auto"/>
      </w:divBdr>
    </w:div>
    <w:div w:id="190921161">
      <w:bodyDiv w:val="1"/>
      <w:marLeft w:val="0"/>
      <w:marRight w:val="0"/>
      <w:marTop w:val="0"/>
      <w:marBottom w:val="0"/>
      <w:divBdr>
        <w:top w:val="none" w:sz="0" w:space="0" w:color="auto"/>
        <w:left w:val="none" w:sz="0" w:space="0" w:color="auto"/>
        <w:bottom w:val="none" w:sz="0" w:space="0" w:color="auto"/>
        <w:right w:val="none" w:sz="0" w:space="0" w:color="auto"/>
      </w:divBdr>
    </w:div>
    <w:div w:id="326205162">
      <w:bodyDiv w:val="1"/>
      <w:marLeft w:val="0"/>
      <w:marRight w:val="0"/>
      <w:marTop w:val="0"/>
      <w:marBottom w:val="0"/>
      <w:divBdr>
        <w:top w:val="none" w:sz="0" w:space="0" w:color="auto"/>
        <w:left w:val="none" w:sz="0" w:space="0" w:color="auto"/>
        <w:bottom w:val="none" w:sz="0" w:space="0" w:color="auto"/>
        <w:right w:val="none" w:sz="0" w:space="0" w:color="auto"/>
      </w:divBdr>
      <w:divsChild>
        <w:div w:id="995033989">
          <w:marLeft w:val="0"/>
          <w:marRight w:val="0"/>
          <w:marTop w:val="0"/>
          <w:marBottom w:val="0"/>
          <w:divBdr>
            <w:top w:val="none" w:sz="0" w:space="0" w:color="auto"/>
            <w:left w:val="none" w:sz="0" w:space="0" w:color="auto"/>
            <w:bottom w:val="none" w:sz="0" w:space="0" w:color="auto"/>
            <w:right w:val="none" w:sz="0" w:space="0" w:color="auto"/>
          </w:divBdr>
          <w:divsChild>
            <w:div w:id="1715545212">
              <w:marLeft w:val="0"/>
              <w:marRight w:val="0"/>
              <w:marTop w:val="0"/>
              <w:marBottom w:val="0"/>
              <w:divBdr>
                <w:top w:val="none" w:sz="0" w:space="0" w:color="auto"/>
                <w:left w:val="none" w:sz="0" w:space="0" w:color="auto"/>
                <w:bottom w:val="none" w:sz="0" w:space="0" w:color="auto"/>
                <w:right w:val="none" w:sz="0" w:space="0" w:color="auto"/>
              </w:divBdr>
              <w:divsChild>
                <w:div w:id="503596773">
                  <w:marLeft w:val="0"/>
                  <w:marRight w:val="0"/>
                  <w:marTop w:val="0"/>
                  <w:marBottom w:val="0"/>
                  <w:divBdr>
                    <w:top w:val="none" w:sz="0" w:space="0" w:color="auto"/>
                    <w:left w:val="none" w:sz="0" w:space="0" w:color="auto"/>
                    <w:bottom w:val="none" w:sz="0" w:space="0" w:color="auto"/>
                    <w:right w:val="none" w:sz="0" w:space="0" w:color="auto"/>
                  </w:divBdr>
                  <w:divsChild>
                    <w:div w:id="157207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828723">
      <w:bodyDiv w:val="1"/>
      <w:marLeft w:val="0"/>
      <w:marRight w:val="0"/>
      <w:marTop w:val="0"/>
      <w:marBottom w:val="0"/>
      <w:divBdr>
        <w:top w:val="none" w:sz="0" w:space="0" w:color="auto"/>
        <w:left w:val="none" w:sz="0" w:space="0" w:color="auto"/>
        <w:bottom w:val="none" w:sz="0" w:space="0" w:color="auto"/>
        <w:right w:val="none" w:sz="0" w:space="0" w:color="auto"/>
      </w:divBdr>
    </w:div>
    <w:div w:id="329215692">
      <w:bodyDiv w:val="1"/>
      <w:marLeft w:val="0"/>
      <w:marRight w:val="0"/>
      <w:marTop w:val="0"/>
      <w:marBottom w:val="0"/>
      <w:divBdr>
        <w:top w:val="none" w:sz="0" w:space="0" w:color="auto"/>
        <w:left w:val="none" w:sz="0" w:space="0" w:color="auto"/>
        <w:bottom w:val="none" w:sz="0" w:space="0" w:color="auto"/>
        <w:right w:val="none" w:sz="0" w:space="0" w:color="auto"/>
      </w:divBdr>
    </w:div>
    <w:div w:id="359673029">
      <w:bodyDiv w:val="1"/>
      <w:marLeft w:val="0"/>
      <w:marRight w:val="0"/>
      <w:marTop w:val="0"/>
      <w:marBottom w:val="0"/>
      <w:divBdr>
        <w:top w:val="none" w:sz="0" w:space="0" w:color="auto"/>
        <w:left w:val="none" w:sz="0" w:space="0" w:color="auto"/>
        <w:bottom w:val="none" w:sz="0" w:space="0" w:color="auto"/>
        <w:right w:val="none" w:sz="0" w:space="0" w:color="auto"/>
      </w:divBdr>
    </w:div>
    <w:div w:id="562906818">
      <w:bodyDiv w:val="1"/>
      <w:marLeft w:val="0"/>
      <w:marRight w:val="0"/>
      <w:marTop w:val="0"/>
      <w:marBottom w:val="0"/>
      <w:divBdr>
        <w:top w:val="none" w:sz="0" w:space="0" w:color="auto"/>
        <w:left w:val="none" w:sz="0" w:space="0" w:color="auto"/>
        <w:bottom w:val="none" w:sz="0" w:space="0" w:color="auto"/>
        <w:right w:val="none" w:sz="0" w:space="0" w:color="auto"/>
      </w:divBdr>
    </w:div>
    <w:div w:id="601231365">
      <w:bodyDiv w:val="1"/>
      <w:marLeft w:val="0"/>
      <w:marRight w:val="0"/>
      <w:marTop w:val="0"/>
      <w:marBottom w:val="0"/>
      <w:divBdr>
        <w:top w:val="none" w:sz="0" w:space="0" w:color="auto"/>
        <w:left w:val="none" w:sz="0" w:space="0" w:color="auto"/>
        <w:bottom w:val="none" w:sz="0" w:space="0" w:color="auto"/>
        <w:right w:val="none" w:sz="0" w:space="0" w:color="auto"/>
      </w:divBdr>
    </w:div>
    <w:div w:id="784422344">
      <w:bodyDiv w:val="1"/>
      <w:marLeft w:val="0"/>
      <w:marRight w:val="0"/>
      <w:marTop w:val="0"/>
      <w:marBottom w:val="0"/>
      <w:divBdr>
        <w:top w:val="none" w:sz="0" w:space="0" w:color="auto"/>
        <w:left w:val="none" w:sz="0" w:space="0" w:color="auto"/>
        <w:bottom w:val="none" w:sz="0" w:space="0" w:color="auto"/>
        <w:right w:val="none" w:sz="0" w:space="0" w:color="auto"/>
      </w:divBdr>
    </w:div>
    <w:div w:id="787549115">
      <w:bodyDiv w:val="1"/>
      <w:marLeft w:val="0"/>
      <w:marRight w:val="0"/>
      <w:marTop w:val="0"/>
      <w:marBottom w:val="0"/>
      <w:divBdr>
        <w:top w:val="none" w:sz="0" w:space="0" w:color="auto"/>
        <w:left w:val="none" w:sz="0" w:space="0" w:color="auto"/>
        <w:bottom w:val="none" w:sz="0" w:space="0" w:color="auto"/>
        <w:right w:val="none" w:sz="0" w:space="0" w:color="auto"/>
      </w:divBdr>
    </w:div>
    <w:div w:id="858199641">
      <w:bodyDiv w:val="1"/>
      <w:marLeft w:val="0"/>
      <w:marRight w:val="0"/>
      <w:marTop w:val="0"/>
      <w:marBottom w:val="0"/>
      <w:divBdr>
        <w:top w:val="none" w:sz="0" w:space="0" w:color="auto"/>
        <w:left w:val="none" w:sz="0" w:space="0" w:color="auto"/>
        <w:bottom w:val="none" w:sz="0" w:space="0" w:color="auto"/>
        <w:right w:val="none" w:sz="0" w:space="0" w:color="auto"/>
      </w:divBdr>
    </w:div>
    <w:div w:id="1061904804">
      <w:bodyDiv w:val="1"/>
      <w:marLeft w:val="0"/>
      <w:marRight w:val="0"/>
      <w:marTop w:val="0"/>
      <w:marBottom w:val="0"/>
      <w:divBdr>
        <w:top w:val="none" w:sz="0" w:space="0" w:color="auto"/>
        <w:left w:val="none" w:sz="0" w:space="0" w:color="auto"/>
        <w:bottom w:val="none" w:sz="0" w:space="0" w:color="auto"/>
        <w:right w:val="none" w:sz="0" w:space="0" w:color="auto"/>
      </w:divBdr>
    </w:div>
    <w:div w:id="1131286360">
      <w:bodyDiv w:val="1"/>
      <w:marLeft w:val="0"/>
      <w:marRight w:val="0"/>
      <w:marTop w:val="0"/>
      <w:marBottom w:val="0"/>
      <w:divBdr>
        <w:top w:val="none" w:sz="0" w:space="0" w:color="auto"/>
        <w:left w:val="none" w:sz="0" w:space="0" w:color="auto"/>
        <w:bottom w:val="none" w:sz="0" w:space="0" w:color="auto"/>
        <w:right w:val="none" w:sz="0" w:space="0" w:color="auto"/>
      </w:divBdr>
    </w:div>
    <w:div w:id="1383403836">
      <w:bodyDiv w:val="1"/>
      <w:marLeft w:val="0"/>
      <w:marRight w:val="0"/>
      <w:marTop w:val="0"/>
      <w:marBottom w:val="0"/>
      <w:divBdr>
        <w:top w:val="none" w:sz="0" w:space="0" w:color="auto"/>
        <w:left w:val="none" w:sz="0" w:space="0" w:color="auto"/>
        <w:bottom w:val="none" w:sz="0" w:space="0" w:color="auto"/>
        <w:right w:val="none" w:sz="0" w:space="0" w:color="auto"/>
      </w:divBdr>
    </w:div>
    <w:div w:id="1420590971">
      <w:bodyDiv w:val="1"/>
      <w:marLeft w:val="0"/>
      <w:marRight w:val="0"/>
      <w:marTop w:val="0"/>
      <w:marBottom w:val="0"/>
      <w:divBdr>
        <w:top w:val="none" w:sz="0" w:space="0" w:color="auto"/>
        <w:left w:val="none" w:sz="0" w:space="0" w:color="auto"/>
        <w:bottom w:val="none" w:sz="0" w:space="0" w:color="auto"/>
        <w:right w:val="none" w:sz="0" w:space="0" w:color="auto"/>
      </w:divBdr>
    </w:div>
    <w:div w:id="1539318136">
      <w:bodyDiv w:val="1"/>
      <w:marLeft w:val="0"/>
      <w:marRight w:val="0"/>
      <w:marTop w:val="0"/>
      <w:marBottom w:val="0"/>
      <w:divBdr>
        <w:top w:val="none" w:sz="0" w:space="0" w:color="auto"/>
        <w:left w:val="none" w:sz="0" w:space="0" w:color="auto"/>
        <w:bottom w:val="none" w:sz="0" w:space="0" w:color="auto"/>
        <w:right w:val="none" w:sz="0" w:space="0" w:color="auto"/>
      </w:divBdr>
    </w:div>
    <w:div w:id="160885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80/1828051X.2019.16187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partic.2012.06.002"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3267</Words>
  <Characters>1863</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ІГОР</dc:creator>
  <cp:keywords/>
  <dc:description/>
  <cp:lastModifiedBy>VR</cp:lastModifiedBy>
  <cp:revision>2</cp:revision>
  <dcterms:created xsi:type="dcterms:W3CDTF">2026-10-05T12:20:00Z</dcterms:created>
  <dcterms:modified xsi:type="dcterms:W3CDTF">2026-10-05T12:20:00Z</dcterms:modified>
</cp:coreProperties>
</file>