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04AD" w14:textId="09D223A7" w:rsidR="005D00D6" w:rsidRPr="000E1174" w:rsidRDefault="005D00D6" w:rsidP="00D31477">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F17A48" w:rsidRPr="00F17A48">
        <w:rPr>
          <w:rFonts w:ascii="Times New Roman" w:hAnsi="Times New Roman" w:cs="Times New Roman"/>
          <w:sz w:val="28"/>
          <w:szCs w:val="28"/>
        </w:rPr>
        <w:t>664.784.8:631.363.285</w:t>
      </w:r>
    </w:p>
    <w:p w14:paraId="0BFC2BB4" w14:textId="77777777" w:rsidR="005D00D6" w:rsidRPr="000E1174" w:rsidRDefault="005D00D6" w:rsidP="00D31477">
      <w:pPr>
        <w:spacing w:after="0" w:line="276" w:lineRule="auto"/>
        <w:jc w:val="center"/>
        <w:rPr>
          <w:rFonts w:ascii="Times New Roman" w:hAnsi="Times New Roman" w:cs="Times New Roman"/>
          <w:sz w:val="28"/>
          <w:szCs w:val="28"/>
        </w:rPr>
      </w:pPr>
    </w:p>
    <w:p w14:paraId="087FD6EF" w14:textId="473F06E8" w:rsidR="005D00D6" w:rsidRDefault="00F17A48" w:rsidP="00D31477">
      <w:pPr>
        <w:spacing w:after="0" w:line="276" w:lineRule="auto"/>
        <w:jc w:val="center"/>
        <w:rPr>
          <w:rFonts w:ascii="Times New Roman" w:hAnsi="Times New Roman" w:cs="Times New Roman"/>
          <w:b/>
          <w:bCs/>
          <w:sz w:val="28"/>
          <w:szCs w:val="28"/>
        </w:rPr>
      </w:pPr>
      <w:r w:rsidRPr="00F17A48">
        <w:rPr>
          <w:rFonts w:ascii="Times New Roman" w:hAnsi="Times New Roman" w:cs="Times New Roman"/>
          <w:b/>
          <w:bCs/>
          <w:sz w:val="28"/>
          <w:szCs w:val="28"/>
        </w:rPr>
        <w:t>ВПЛИВ ВОЛОГОСТІ РОСЛИННОЇ СИРОВИНИ НА ЕФЕКТИВНІСТЬ ЇЇ ТЕРМОВАКУУМНОГО ЕКСТРУДУВАННЯ</w:t>
      </w:r>
    </w:p>
    <w:p w14:paraId="0028A283" w14:textId="77777777" w:rsidR="00F17A48" w:rsidRDefault="00F17A48" w:rsidP="00D31477">
      <w:pPr>
        <w:spacing w:after="0" w:line="276" w:lineRule="auto"/>
        <w:rPr>
          <w:rFonts w:ascii="Times New Roman" w:hAnsi="Times New Roman" w:cs="Times New Roman"/>
          <w:sz w:val="28"/>
          <w:szCs w:val="28"/>
        </w:rPr>
      </w:pPr>
    </w:p>
    <w:p w14:paraId="2B65387C" w14:textId="5FF7B87C" w:rsidR="005D00D6" w:rsidRDefault="005D00D6" w:rsidP="00D31477">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Куликівський В.Л.</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proofErr w:type="spellStart"/>
      <w:r>
        <w:rPr>
          <w:rFonts w:ascii="Times New Roman" w:hAnsi="Times New Roman" w:cs="Times New Roman"/>
          <w:b/>
          <w:bCs/>
          <w:sz w:val="28"/>
          <w:szCs w:val="28"/>
        </w:rPr>
        <w:t>Корпан</w:t>
      </w:r>
      <w:proofErr w:type="spellEnd"/>
      <w:r>
        <w:rPr>
          <w:rFonts w:ascii="Times New Roman" w:hAnsi="Times New Roman" w:cs="Times New Roman"/>
          <w:b/>
          <w:bCs/>
          <w:sz w:val="28"/>
          <w:szCs w:val="28"/>
        </w:rPr>
        <w:t xml:space="preserve"> І.В.</w:t>
      </w:r>
      <w:r>
        <w:rPr>
          <w:rFonts w:ascii="Times New Roman" w:hAnsi="Times New Roman" w:cs="Times New Roman"/>
          <w:sz w:val="28"/>
          <w:szCs w:val="28"/>
        </w:rPr>
        <w:t xml:space="preserve"> здобувач освіти</w:t>
      </w:r>
    </w:p>
    <w:p w14:paraId="6534C696" w14:textId="77777777" w:rsidR="005D00D6" w:rsidRPr="005D7B15" w:rsidRDefault="005D00D6" w:rsidP="00D31477">
      <w:pPr>
        <w:spacing w:after="0" w:line="276" w:lineRule="auto"/>
        <w:jc w:val="center"/>
        <w:rPr>
          <w:rFonts w:ascii="Times New Roman" w:hAnsi="Times New Roman" w:cs="Times New Roman"/>
          <w:i/>
          <w:iCs/>
          <w:sz w:val="28"/>
          <w:szCs w:val="28"/>
        </w:rPr>
      </w:pPr>
      <w:r w:rsidRPr="005D7B15">
        <w:rPr>
          <w:rFonts w:ascii="Times New Roman" w:hAnsi="Times New Roman" w:cs="Times New Roman"/>
          <w:i/>
          <w:iCs/>
          <w:sz w:val="28"/>
          <w:szCs w:val="28"/>
        </w:rPr>
        <w:t>Поліський національний університет, м. Житомир</w:t>
      </w:r>
    </w:p>
    <w:p w14:paraId="34B344A8" w14:textId="77777777" w:rsidR="005D00D6" w:rsidRDefault="005D00D6" w:rsidP="00D31477">
      <w:pPr>
        <w:spacing w:after="0" w:line="276" w:lineRule="auto"/>
        <w:jc w:val="center"/>
        <w:rPr>
          <w:rFonts w:ascii="Times New Roman" w:hAnsi="Times New Roman" w:cs="Times New Roman"/>
          <w:sz w:val="28"/>
          <w:szCs w:val="28"/>
        </w:rPr>
      </w:pPr>
    </w:p>
    <w:p w14:paraId="65B6D1E1" w14:textId="77777777" w:rsidR="00F17A48" w:rsidRPr="00F17A48" w:rsidRDefault="00F17A48" w:rsidP="00D31477">
      <w:pPr>
        <w:spacing w:after="0" w:line="276" w:lineRule="auto"/>
        <w:ind w:firstLine="709"/>
        <w:jc w:val="both"/>
        <w:rPr>
          <w:rFonts w:ascii="Times New Roman" w:hAnsi="Times New Roman" w:cs="Times New Roman"/>
          <w:sz w:val="28"/>
          <w:szCs w:val="28"/>
        </w:rPr>
      </w:pP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належить до перспективних способів глибокої переробки рослинної сировини, який забезпечує поєднання механічної, теплової та баричної дії на матеріал протягом відносно короткого часу. Під час проходження сировини через робочі органи екструдера відбуваються її ущільнення, перемішування, подрібнення, нагрівання, пластична деформація та структурно-механічні перетворення. Унаслідок цього змінюються фізичні, технологічні та поживні властивості одержаного продукту [1].</w:t>
      </w:r>
    </w:p>
    <w:p w14:paraId="2D8C6A56"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Одним із перспективних напрямів удосконалення традиційної </w:t>
      </w:r>
      <w:proofErr w:type="spellStart"/>
      <w:r w:rsidRPr="00F17A48">
        <w:rPr>
          <w:rFonts w:ascii="Times New Roman" w:hAnsi="Times New Roman" w:cs="Times New Roman"/>
          <w:sz w:val="28"/>
          <w:szCs w:val="28"/>
        </w:rPr>
        <w:t>екструзійної</w:t>
      </w:r>
      <w:proofErr w:type="spellEnd"/>
      <w:r w:rsidRPr="00F17A48">
        <w:rPr>
          <w:rFonts w:ascii="Times New Roman" w:hAnsi="Times New Roman" w:cs="Times New Roman"/>
          <w:sz w:val="28"/>
          <w:szCs w:val="28"/>
        </w:rPr>
        <w:t xml:space="preserve"> технології є застосування </w:t>
      </w:r>
      <w:proofErr w:type="spellStart"/>
      <w:r w:rsidRPr="00F17A48">
        <w:rPr>
          <w:rFonts w:ascii="Times New Roman" w:hAnsi="Times New Roman" w:cs="Times New Roman"/>
          <w:sz w:val="28"/>
          <w:szCs w:val="28"/>
        </w:rPr>
        <w:t>термовакуумного</w:t>
      </w:r>
      <w:proofErr w:type="spellEnd"/>
      <w:r w:rsidRPr="00F17A48">
        <w:rPr>
          <w:rFonts w:ascii="Times New Roman" w:hAnsi="Times New Roman" w:cs="Times New Roman"/>
          <w:sz w:val="28"/>
          <w:szCs w:val="28"/>
        </w:rPr>
        <w:t xml:space="preserve">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за якого вихід </w:t>
      </w:r>
      <w:proofErr w:type="spellStart"/>
      <w:r w:rsidRPr="00F17A48">
        <w:rPr>
          <w:rFonts w:ascii="Times New Roman" w:hAnsi="Times New Roman" w:cs="Times New Roman"/>
          <w:sz w:val="28"/>
          <w:szCs w:val="28"/>
        </w:rPr>
        <w:t>екструдованого</w:t>
      </w:r>
      <w:proofErr w:type="spellEnd"/>
      <w:r w:rsidRPr="00F17A48">
        <w:rPr>
          <w:rFonts w:ascii="Times New Roman" w:hAnsi="Times New Roman" w:cs="Times New Roman"/>
          <w:sz w:val="28"/>
          <w:szCs w:val="28"/>
        </w:rPr>
        <w:t xml:space="preserve"> матеріалу здійснюється в середовище зі зниженим тиском. Застосування вакууму дає можливість забезпечити інтенсивне випаровування частини вологи за нижчих температур, збільшити перепад тиску на виході з матриці та створити умови для формування розвиненої пористої структури продукту. При цьому зменшується необхідність використання надмірно високих температур, що сприяє кращому збереженню термолабільних компонентів рослинної сировини [2, 3].</w:t>
      </w:r>
    </w:p>
    <w:p w14:paraId="48608128"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Важливим параметром, що визначає характер протікання </w:t>
      </w:r>
      <w:proofErr w:type="spellStart"/>
      <w:r w:rsidRPr="00F17A48">
        <w:rPr>
          <w:rFonts w:ascii="Times New Roman" w:hAnsi="Times New Roman" w:cs="Times New Roman"/>
          <w:sz w:val="28"/>
          <w:szCs w:val="28"/>
        </w:rPr>
        <w:t>термовакуумного</w:t>
      </w:r>
      <w:proofErr w:type="spellEnd"/>
      <w:r w:rsidRPr="00F17A48">
        <w:rPr>
          <w:rFonts w:ascii="Times New Roman" w:hAnsi="Times New Roman" w:cs="Times New Roman"/>
          <w:sz w:val="28"/>
          <w:szCs w:val="28"/>
        </w:rPr>
        <w:t xml:space="preserve">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є початкова вологість сировини. Вода в процесі екструзії одночасно виконує функції пластифікатора, теплоносія та компонента, який бере участь у формуванні структури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 xml:space="preserve">. Зміна її вмісту впливає на реологічні характеристики матеріалу, величину сил тертя в робочій камері, тиск перед матрицею, температуру продукту, питомі витрати механічної енергії та ступінь розширення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 xml:space="preserve"> [1, 4].</w:t>
      </w:r>
    </w:p>
    <w:p w14:paraId="0D342423"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За недостатньої вологості рослинної сировини збільшується її опір переміщенню в робочій камері екструдера. Це супроводжується підвищенням в’язкості матеріалу, сил тертя між сировиною, </w:t>
      </w:r>
      <w:proofErr w:type="spellStart"/>
      <w:r w:rsidRPr="00F17A48">
        <w:rPr>
          <w:rFonts w:ascii="Times New Roman" w:hAnsi="Times New Roman" w:cs="Times New Roman"/>
          <w:sz w:val="28"/>
          <w:szCs w:val="28"/>
        </w:rPr>
        <w:t>шнеком</w:t>
      </w:r>
      <w:proofErr w:type="spellEnd"/>
      <w:r w:rsidRPr="00F17A48">
        <w:rPr>
          <w:rFonts w:ascii="Times New Roman" w:hAnsi="Times New Roman" w:cs="Times New Roman"/>
          <w:sz w:val="28"/>
          <w:szCs w:val="28"/>
        </w:rPr>
        <w:t xml:space="preserve"> і внутрішньою поверхнею циліндра та, відповідно, збільшенням механічних енерговитрат. Експериментальними дослідженнями встановлено, що зниження вологості сировини, як правило, приводить до збільшення питомої механічної енергії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[5].</w:t>
      </w:r>
    </w:p>
    <w:p w14:paraId="4F70507A" w14:textId="3DFFAB8F" w:rsidR="00F17A48" w:rsidRPr="004A4A46" w:rsidRDefault="00F17A48" w:rsidP="00D31477">
      <w:pPr>
        <w:spacing w:after="0" w:line="276" w:lineRule="auto"/>
        <w:ind w:firstLine="709"/>
        <w:jc w:val="both"/>
        <w:rPr>
          <w:rFonts w:ascii="Times New Roman" w:hAnsi="Times New Roman" w:cs="Times New Roman"/>
          <w:sz w:val="28"/>
          <w:szCs w:val="28"/>
          <w:lang w:val="en-US"/>
        </w:rPr>
      </w:pPr>
      <w:r w:rsidRPr="00F17A48">
        <w:rPr>
          <w:rFonts w:ascii="Times New Roman" w:hAnsi="Times New Roman" w:cs="Times New Roman"/>
          <w:sz w:val="28"/>
          <w:szCs w:val="28"/>
        </w:rPr>
        <w:t>Питома механічна енергія може бути представлена залежністю</w:t>
      </w:r>
      <w:r>
        <w:rPr>
          <w:rFonts w:ascii="Times New Roman" w:hAnsi="Times New Roman" w:cs="Times New Roman"/>
          <w:sz w:val="28"/>
          <w:szCs w:val="28"/>
        </w:rPr>
        <w:t>:</w:t>
      </w:r>
    </w:p>
    <w:p w14:paraId="126A5581" w14:textId="5BCB1BCB" w:rsidR="00F17A48" w:rsidRPr="004A4A46" w:rsidRDefault="00F17A48" w:rsidP="00D31477">
      <w:pPr>
        <w:spacing w:after="0" w:line="276" w:lineRule="auto"/>
        <w:ind w:firstLine="709"/>
        <w:jc w:val="right"/>
        <w:rPr>
          <w:rFonts w:ascii="Times New Roman" w:hAnsi="Times New Roman" w:cs="Times New Roman"/>
          <w:sz w:val="28"/>
          <w:szCs w:val="28"/>
          <w:lang w:val="en-US"/>
        </w:rPr>
      </w:pPr>
      <w:r w:rsidRPr="004A4A46">
        <w:rPr>
          <w:rFonts w:ascii="Times New Roman" w:hAnsi="Times New Roman" w:cs="Times New Roman"/>
          <w:i/>
          <w:iCs/>
          <w:sz w:val="28"/>
          <w:szCs w:val="28"/>
        </w:rPr>
        <w:lastRenderedPageBreak/>
        <w:t>SME = N / Q</w:t>
      </w:r>
      <w:r w:rsidRPr="00F17A48">
        <w:rPr>
          <w:rFonts w:ascii="Times New Roman" w:hAnsi="Times New Roman" w:cs="Times New Roman"/>
          <w:sz w:val="28"/>
          <w:szCs w:val="28"/>
        </w:rPr>
        <w:t>,</w:t>
      </w:r>
      <w:r>
        <w:rPr>
          <w:rFonts w:ascii="Times New Roman" w:hAnsi="Times New Roman" w:cs="Times New Roman"/>
          <w:sz w:val="28"/>
          <w:szCs w:val="28"/>
        </w:rPr>
        <w:t xml:space="preserve">                  </w:t>
      </w:r>
      <w:r w:rsidR="004A4A46">
        <w:rPr>
          <w:rFonts w:ascii="Times New Roman" w:hAnsi="Times New Roman" w:cs="Times New Roman"/>
          <w:sz w:val="28"/>
          <w:szCs w:val="28"/>
          <w:lang w:val="en-US"/>
        </w:rPr>
        <w:t xml:space="preserve">                        </w:t>
      </w:r>
      <w:r>
        <w:rPr>
          <w:rFonts w:ascii="Times New Roman" w:hAnsi="Times New Roman" w:cs="Times New Roman"/>
          <w:sz w:val="28"/>
          <w:szCs w:val="28"/>
        </w:rPr>
        <w:t xml:space="preserve">            (1)</w:t>
      </w:r>
    </w:p>
    <w:p w14:paraId="145EF1A9"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де </w:t>
      </w:r>
      <w:r w:rsidRPr="004A4A46">
        <w:rPr>
          <w:rFonts w:ascii="Times New Roman" w:hAnsi="Times New Roman" w:cs="Times New Roman"/>
          <w:i/>
          <w:iCs/>
          <w:sz w:val="28"/>
          <w:szCs w:val="28"/>
        </w:rPr>
        <w:t>SME</w:t>
      </w:r>
      <w:r w:rsidRPr="00F17A48">
        <w:rPr>
          <w:rFonts w:ascii="Times New Roman" w:hAnsi="Times New Roman" w:cs="Times New Roman"/>
          <w:sz w:val="28"/>
          <w:szCs w:val="28"/>
        </w:rPr>
        <w:t xml:space="preserve"> – питома механічна енергія, кДж/кг;</w:t>
      </w:r>
    </w:p>
    <w:p w14:paraId="196991ED"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4A4A46">
        <w:rPr>
          <w:rFonts w:ascii="Times New Roman" w:hAnsi="Times New Roman" w:cs="Times New Roman"/>
          <w:i/>
          <w:iCs/>
          <w:sz w:val="28"/>
          <w:szCs w:val="28"/>
        </w:rPr>
        <w:t>N</w:t>
      </w:r>
      <w:r w:rsidRPr="00F17A48">
        <w:rPr>
          <w:rFonts w:ascii="Times New Roman" w:hAnsi="Times New Roman" w:cs="Times New Roman"/>
          <w:sz w:val="28"/>
          <w:szCs w:val="28"/>
        </w:rPr>
        <w:t xml:space="preserve"> – потужність, що витрачається на процес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кВт;</w:t>
      </w:r>
    </w:p>
    <w:p w14:paraId="020FE70D"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4A4A46">
        <w:rPr>
          <w:rFonts w:ascii="Times New Roman" w:hAnsi="Times New Roman" w:cs="Times New Roman"/>
          <w:i/>
          <w:iCs/>
          <w:sz w:val="28"/>
          <w:szCs w:val="28"/>
        </w:rPr>
        <w:t>Q</w:t>
      </w:r>
      <w:r w:rsidRPr="00F17A48">
        <w:rPr>
          <w:rFonts w:ascii="Times New Roman" w:hAnsi="Times New Roman" w:cs="Times New Roman"/>
          <w:sz w:val="28"/>
          <w:szCs w:val="28"/>
        </w:rPr>
        <w:t xml:space="preserve"> – масова продуктивність екструдера, кг/с.</w:t>
      </w:r>
    </w:p>
    <w:p w14:paraId="4FD031AF"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За незмінної конструкції екструдера збільшення опору руху матеріалу спричиняє підвищення крутного моменту на шнеку та споживаної потужності. Тому надто низька вологість хоча й може сприяти інтенсивнішому механічному впливу на рослинну сировину, однак з енергетичної точки зору є небажаною.</w:t>
      </w:r>
    </w:p>
    <w:p w14:paraId="36534B2F"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Підвищення вологості сприяє пластифікації матеріалу та зниженню його ефективної в’язкості. Вода зменшує коефіцієнт внутрішнього та зовнішнього тертя, завдяки чому матеріал легше переміщується вздовж робочої камери. Як наслідок, знижуються крутний момент, тиск перед матрицею та питомі механічні енерговитрати [4–6]. Таким чином, збільшення вологості до певної межі може позитивно впливати на енергоефективність процесу.</w:t>
      </w:r>
    </w:p>
    <w:p w14:paraId="7FA7C968"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Водночас надлишкова вологість також має негативні наслідки. Значне зменшення в’язкості </w:t>
      </w:r>
      <w:proofErr w:type="spellStart"/>
      <w:r w:rsidRPr="00F17A48">
        <w:rPr>
          <w:rFonts w:ascii="Times New Roman" w:hAnsi="Times New Roman" w:cs="Times New Roman"/>
          <w:sz w:val="28"/>
          <w:szCs w:val="28"/>
        </w:rPr>
        <w:t>екструдованої</w:t>
      </w:r>
      <w:proofErr w:type="spellEnd"/>
      <w:r w:rsidRPr="00F17A48">
        <w:rPr>
          <w:rFonts w:ascii="Times New Roman" w:hAnsi="Times New Roman" w:cs="Times New Roman"/>
          <w:sz w:val="28"/>
          <w:szCs w:val="28"/>
        </w:rPr>
        <w:t xml:space="preserve"> маси знижує інтенсивність механічного зсуву та дисипації енергії. У результаті може зменшуватися ступінь термомеханічної модифікації крохмалю та інших </w:t>
      </w:r>
      <w:proofErr w:type="spellStart"/>
      <w:r w:rsidRPr="00F17A48">
        <w:rPr>
          <w:rFonts w:ascii="Times New Roman" w:hAnsi="Times New Roman" w:cs="Times New Roman"/>
          <w:sz w:val="28"/>
          <w:szCs w:val="28"/>
        </w:rPr>
        <w:t>структуроутворювальних</w:t>
      </w:r>
      <w:proofErr w:type="spellEnd"/>
      <w:r w:rsidRPr="00F17A48">
        <w:rPr>
          <w:rFonts w:ascii="Times New Roman" w:hAnsi="Times New Roman" w:cs="Times New Roman"/>
          <w:sz w:val="28"/>
          <w:szCs w:val="28"/>
        </w:rPr>
        <w:t xml:space="preserve"> компонентів рослинної сировини. Крім того, за надмірної кількості води формування стабільної пористої структури після виходу продукту з матриці може погіршуватися [1].</w:t>
      </w:r>
    </w:p>
    <w:p w14:paraId="45B1B1D3"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Встановлено, що зміна вологості зернової сировини в межах 20–30 % суттєво впливає на фізичні властивості одержуваних </w:t>
      </w:r>
      <w:proofErr w:type="spellStart"/>
      <w:r w:rsidRPr="00F17A48">
        <w:rPr>
          <w:rFonts w:ascii="Times New Roman" w:hAnsi="Times New Roman" w:cs="Times New Roman"/>
          <w:sz w:val="28"/>
          <w:szCs w:val="28"/>
        </w:rPr>
        <w:t>екструдатів</w:t>
      </w:r>
      <w:proofErr w:type="spellEnd"/>
      <w:r w:rsidRPr="00F17A48">
        <w:rPr>
          <w:rFonts w:ascii="Times New Roman" w:hAnsi="Times New Roman" w:cs="Times New Roman"/>
          <w:sz w:val="28"/>
          <w:szCs w:val="28"/>
        </w:rPr>
        <w:t xml:space="preserve">. При збільшенні вологості змінюються коефіцієнт розширення, густина, </w:t>
      </w:r>
      <w:proofErr w:type="spellStart"/>
      <w:r w:rsidRPr="00F17A48">
        <w:rPr>
          <w:rFonts w:ascii="Times New Roman" w:hAnsi="Times New Roman" w:cs="Times New Roman"/>
          <w:sz w:val="28"/>
          <w:szCs w:val="28"/>
        </w:rPr>
        <w:t>водопоглинальна</w:t>
      </w:r>
      <w:proofErr w:type="spellEnd"/>
      <w:r w:rsidRPr="00F17A48">
        <w:rPr>
          <w:rFonts w:ascii="Times New Roman" w:hAnsi="Times New Roman" w:cs="Times New Roman"/>
          <w:sz w:val="28"/>
          <w:szCs w:val="28"/>
        </w:rPr>
        <w:t xml:space="preserve"> та водорозчинна здатність продукту, а також питомі механічні енерговитрати [6]. Дослідження структурних властивостей </w:t>
      </w:r>
      <w:proofErr w:type="spellStart"/>
      <w:r w:rsidRPr="00F17A48">
        <w:rPr>
          <w:rFonts w:ascii="Times New Roman" w:hAnsi="Times New Roman" w:cs="Times New Roman"/>
          <w:sz w:val="28"/>
          <w:szCs w:val="28"/>
        </w:rPr>
        <w:t>екструдованого</w:t>
      </w:r>
      <w:proofErr w:type="spellEnd"/>
      <w:r w:rsidRPr="00F17A48">
        <w:rPr>
          <w:rFonts w:ascii="Times New Roman" w:hAnsi="Times New Roman" w:cs="Times New Roman"/>
          <w:sz w:val="28"/>
          <w:szCs w:val="28"/>
        </w:rPr>
        <w:t xml:space="preserve"> кукурудзяного крохмалю також показали, що зі збільшенням початкової вологості сировини зменшуються пористість і коефіцієнт розширення, тоді як уявна густина продукту має тенденцію до збільшення [7].</w:t>
      </w:r>
    </w:p>
    <w:p w14:paraId="0D398E13"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Особливого значення вологість набуває під час </w:t>
      </w:r>
      <w:proofErr w:type="spellStart"/>
      <w:r w:rsidRPr="00F17A48">
        <w:rPr>
          <w:rFonts w:ascii="Times New Roman" w:hAnsi="Times New Roman" w:cs="Times New Roman"/>
          <w:sz w:val="28"/>
          <w:szCs w:val="28"/>
        </w:rPr>
        <w:t>термовакуумної</w:t>
      </w:r>
      <w:proofErr w:type="spellEnd"/>
      <w:r w:rsidRPr="00F17A48">
        <w:rPr>
          <w:rFonts w:ascii="Times New Roman" w:hAnsi="Times New Roman" w:cs="Times New Roman"/>
          <w:sz w:val="28"/>
          <w:szCs w:val="28"/>
        </w:rPr>
        <w:t xml:space="preserve"> екструзії. На відміну від традиційної екструзії, формування пористої структури в цьому випадку відбувається при більшому перепаді тиску між зоною перед матрицею та вакуумною камерою. Вода, нагріта в робочій камері, після виходу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 xml:space="preserve"> в середовище зі зниженим тиском </w:t>
      </w:r>
      <w:proofErr w:type="spellStart"/>
      <w:r w:rsidRPr="00F17A48">
        <w:rPr>
          <w:rFonts w:ascii="Times New Roman" w:hAnsi="Times New Roman" w:cs="Times New Roman"/>
          <w:sz w:val="28"/>
          <w:szCs w:val="28"/>
        </w:rPr>
        <w:t>інтенсивно</w:t>
      </w:r>
      <w:proofErr w:type="spellEnd"/>
      <w:r w:rsidRPr="00F17A48">
        <w:rPr>
          <w:rFonts w:ascii="Times New Roman" w:hAnsi="Times New Roman" w:cs="Times New Roman"/>
          <w:sz w:val="28"/>
          <w:szCs w:val="28"/>
        </w:rPr>
        <w:t xml:space="preserve"> переходить у пароподібний стан. Утворена пара виконує роль внутрішнього </w:t>
      </w:r>
      <w:proofErr w:type="spellStart"/>
      <w:r w:rsidRPr="00F17A48">
        <w:rPr>
          <w:rFonts w:ascii="Times New Roman" w:hAnsi="Times New Roman" w:cs="Times New Roman"/>
          <w:sz w:val="28"/>
          <w:szCs w:val="28"/>
        </w:rPr>
        <w:t>пороутворювача</w:t>
      </w:r>
      <w:proofErr w:type="spellEnd"/>
      <w:r w:rsidRPr="00F17A48">
        <w:rPr>
          <w:rFonts w:ascii="Times New Roman" w:hAnsi="Times New Roman" w:cs="Times New Roman"/>
          <w:sz w:val="28"/>
          <w:szCs w:val="28"/>
        </w:rPr>
        <w:t>, сприяючи розширенню продукту.</w:t>
      </w:r>
    </w:p>
    <w:p w14:paraId="12E2BA25"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Отже, початкова вологість рослинної сировини визначає не тільки її реологічні характеристики в робочій камері, а й кількість води, яка потенційно може перейти у пару при різкому зниженні тиску. За недостатньої вологості </w:t>
      </w:r>
      <w:r w:rsidRPr="00F17A48">
        <w:rPr>
          <w:rFonts w:ascii="Times New Roman" w:hAnsi="Times New Roman" w:cs="Times New Roman"/>
          <w:sz w:val="28"/>
          <w:szCs w:val="28"/>
        </w:rPr>
        <w:lastRenderedPageBreak/>
        <w:t>кількість утвореної пари може бути недостатньою для інтенсивного розширення матеріалу. За надлишкової вологості, навпаки, істотно зменшується в’язкість розплаву, через що сформовані пори можуть бути нестійкими, а механічна міцність структури – недостатньою.</w:t>
      </w:r>
    </w:p>
    <w:p w14:paraId="21F06957"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Результати дослідження вакуум-</w:t>
      </w:r>
      <w:proofErr w:type="spellStart"/>
      <w:r w:rsidRPr="00F17A48">
        <w:rPr>
          <w:rFonts w:ascii="Times New Roman" w:hAnsi="Times New Roman" w:cs="Times New Roman"/>
          <w:sz w:val="28"/>
          <w:szCs w:val="28"/>
        </w:rPr>
        <w:t>асистованої</w:t>
      </w:r>
      <w:proofErr w:type="spellEnd"/>
      <w:r w:rsidRPr="00F17A48">
        <w:rPr>
          <w:rFonts w:ascii="Times New Roman" w:hAnsi="Times New Roman" w:cs="Times New Roman"/>
          <w:sz w:val="28"/>
          <w:szCs w:val="28"/>
        </w:rPr>
        <w:t xml:space="preserve"> екструзії червоного рису свідчать, що ефективне формування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 xml:space="preserve"> може забезпечуватися за значно нижчої температури, ніж у традиційних високотемпературних процесах. Для досліджуваної сировини раціональні параметри становили температуру робочої камери 77,5 °С, вологість 32,5 %, частоту обертання шнека 350 хв⁻¹ та рівень вакууму 300 мм </w:t>
      </w:r>
      <w:proofErr w:type="spellStart"/>
      <w:r w:rsidRPr="00F17A48">
        <w:rPr>
          <w:rFonts w:ascii="Times New Roman" w:hAnsi="Times New Roman" w:cs="Times New Roman"/>
          <w:sz w:val="28"/>
          <w:szCs w:val="28"/>
        </w:rPr>
        <w:t>рт</w:t>
      </w:r>
      <w:proofErr w:type="spellEnd"/>
      <w:r w:rsidRPr="00F17A48">
        <w:rPr>
          <w:rFonts w:ascii="Times New Roman" w:hAnsi="Times New Roman" w:cs="Times New Roman"/>
          <w:sz w:val="28"/>
          <w:szCs w:val="28"/>
        </w:rPr>
        <w:t>. ст. [2]. Це дало змогу одержати розширений продукт за відносно низької температури та підвищити збереження біологічно активних речовин.</w:t>
      </w:r>
    </w:p>
    <w:p w14:paraId="42C16EA4"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Близькі результати отримано при </w:t>
      </w:r>
      <w:proofErr w:type="spellStart"/>
      <w:r w:rsidRPr="00F17A48">
        <w:rPr>
          <w:rFonts w:ascii="Times New Roman" w:hAnsi="Times New Roman" w:cs="Times New Roman"/>
          <w:sz w:val="28"/>
          <w:szCs w:val="28"/>
        </w:rPr>
        <w:t>термовакуумній</w:t>
      </w:r>
      <w:proofErr w:type="spellEnd"/>
      <w:r w:rsidRPr="00F17A48">
        <w:rPr>
          <w:rFonts w:ascii="Times New Roman" w:hAnsi="Times New Roman" w:cs="Times New Roman"/>
          <w:sz w:val="28"/>
          <w:szCs w:val="28"/>
        </w:rPr>
        <w:t xml:space="preserve"> переробці суміші жита та </w:t>
      </w:r>
      <w:proofErr w:type="spellStart"/>
      <w:r w:rsidRPr="00F17A48">
        <w:rPr>
          <w:rFonts w:ascii="Times New Roman" w:hAnsi="Times New Roman" w:cs="Times New Roman"/>
          <w:sz w:val="28"/>
          <w:szCs w:val="28"/>
        </w:rPr>
        <w:t>пажитника</w:t>
      </w:r>
      <w:proofErr w:type="spellEnd"/>
      <w:r w:rsidRPr="00F17A48">
        <w:rPr>
          <w:rFonts w:ascii="Times New Roman" w:hAnsi="Times New Roman" w:cs="Times New Roman"/>
          <w:sz w:val="28"/>
          <w:szCs w:val="28"/>
        </w:rPr>
        <w:t xml:space="preserve">. Вологість досліджуваної суміші змінювали в межах 25–35 %, температуру – 70–100 °С, частоту обертання шнека – 200–350 хв⁻¹, а величину вакууму – 0–400 мм </w:t>
      </w:r>
      <w:proofErr w:type="spellStart"/>
      <w:r w:rsidRPr="00F17A48">
        <w:rPr>
          <w:rFonts w:ascii="Times New Roman" w:hAnsi="Times New Roman" w:cs="Times New Roman"/>
          <w:sz w:val="28"/>
          <w:szCs w:val="28"/>
        </w:rPr>
        <w:t>рт</w:t>
      </w:r>
      <w:proofErr w:type="spellEnd"/>
      <w:r w:rsidRPr="00F17A48">
        <w:rPr>
          <w:rFonts w:ascii="Times New Roman" w:hAnsi="Times New Roman" w:cs="Times New Roman"/>
          <w:sz w:val="28"/>
          <w:szCs w:val="28"/>
        </w:rPr>
        <w:t xml:space="preserve">. ст. Аналіз поверхні відгуку показав, що для конкретної досліджуваної суміші раціональним було поєднання вологості 32,5 %, температури 77,5 °С, частоти обертання шнека 350 хв⁻¹ та вакууму 300 мм </w:t>
      </w:r>
      <w:proofErr w:type="spellStart"/>
      <w:r w:rsidRPr="00F17A48">
        <w:rPr>
          <w:rFonts w:ascii="Times New Roman" w:hAnsi="Times New Roman" w:cs="Times New Roman"/>
          <w:sz w:val="28"/>
          <w:szCs w:val="28"/>
        </w:rPr>
        <w:t>рт</w:t>
      </w:r>
      <w:proofErr w:type="spellEnd"/>
      <w:r w:rsidRPr="00F17A48">
        <w:rPr>
          <w:rFonts w:ascii="Times New Roman" w:hAnsi="Times New Roman" w:cs="Times New Roman"/>
          <w:sz w:val="28"/>
          <w:szCs w:val="28"/>
        </w:rPr>
        <w:t>. ст. [3].</w:t>
      </w:r>
    </w:p>
    <w:p w14:paraId="511E045A"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Ці результати свідчать, що для </w:t>
      </w:r>
      <w:proofErr w:type="spellStart"/>
      <w:r w:rsidRPr="00F17A48">
        <w:rPr>
          <w:rFonts w:ascii="Times New Roman" w:hAnsi="Times New Roman" w:cs="Times New Roman"/>
          <w:sz w:val="28"/>
          <w:szCs w:val="28"/>
        </w:rPr>
        <w:t>термовакуумного</w:t>
      </w:r>
      <w:proofErr w:type="spellEnd"/>
      <w:r w:rsidRPr="00F17A48">
        <w:rPr>
          <w:rFonts w:ascii="Times New Roman" w:hAnsi="Times New Roman" w:cs="Times New Roman"/>
          <w:sz w:val="28"/>
          <w:szCs w:val="28"/>
        </w:rPr>
        <w:t xml:space="preserve">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зернової та іншої </w:t>
      </w:r>
      <w:proofErr w:type="spellStart"/>
      <w:r w:rsidRPr="00F17A48">
        <w:rPr>
          <w:rFonts w:ascii="Times New Roman" w:hAnsi="Times New Roman" w:cs="Times New Roman"/>
          <w:sz w:val="28"/>
          <w:szCs w:val="28"/>
        </w:rPr>
        <w:t>крохмалевмісної</w:t>
      </w:r>
      <w:proofErr w:type="spellEnd"/>
      <w:r w:rsidRPr="00F17A48">
        <w:rPr>
          <w:rFonts w:ascii="Times New Roman" w:hAnsi="Times New Roman" w:cs="Times New Roman"/>
          <w:sz w:val="28"/>
          <w:szCs w:val="28"/>
        </w:rPr>
        <w:t xml:space="preserve"> рослинної сировини доцільно окремо досліджувати область підвищеної, порівняно з традиційною сухою екструзією, вологості. Зокрема, інтервал 25–35 % може бути використаний як початковий факторний діапазон для експериментальної оптимізації. При цьому область близько 30–33 % становить особливий інтерес, але не повинна розглядатися як універсальний оптимум, оскільки раціональна вологість залежить від гранулометричного та хімічного складу матеріалу, вмісту крохмалю, білка, клітковини та жиру, а також від конструкції шнека й матриці.</w:t>
      </w:r>
    </w:p>
    <w:p w14:paraId="3229B960"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Для комплексного оцінювання впливу вологості на ефективність </w:t>
      </w:r>
      <w:proofErr w:type="spellStart"/>
      <w:r w:rsidRPr="00F17A48">
        <w:rPr>
          <w:rFonts w:ascii="Times New Roman" w:hAnsi="Times New Roman" w:cs="Times New Roman"/>
          <w:sz w:val="28"/>
          <w:szCs w:val="28"/>
        </w:rPr>
        <w:t>термовакуумного</w:t>
      </w:r>
      <w:proofErr w:type="spellEnd"/>
      <w:r w:rsidRPr="00F17A48">
        <w:rPr>
          <w:rFonts w:ascii="Times New Roman" w:hAnsi="Times New Roman" w:cs="Times New Roman"/>
          <w:sz w:val="28"/>
          <w:szCs w:val="28"/>
        </w:rPr>
        <w:t xml:space="preserve">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доцільно контролювати такі параметри: продуктивність екструдера, споживану потужність, питомі енерговитрати, температуру матеріалу, тиск перед матрицею, кінцеву вологість, коефіцієнт розширення та насипну густину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w:t>
      </w:r>
    </w:p>
    <w:p w14:paraId="32193B85"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t xml:space="preserve">Ефективність процесу в загальному вигляді доцільно оцінювати не за одним показником, а як компроміс між продуктивністю, енергетичними витратами та якістю одержаного продукту. Зростання вологості сировини сприяє зниженню механічних енерговитрат завдяки </w:t>
      </w:r>
      <w:proofErr w:type="spellStart"/>
      <w:r w:rsidRPr="00F17A48">
        <w:rPr>
          <w:rFonts w:ascii="Times New Roman" w:hAnsi="Times New Roman" w:cs="Times New Roman"/>
          <w:sz w:val="28"/>
          <w:szCs w:val="28"/>
        </w:rPr>
        <w:t>пластифікуючій</w:t>
      </w:r>
      <w:proofErr w:type="spellEnd"/>
      <w:r w:rsidRPr="00F17A48">
        <w:rPr>
          <w:rFonts w:ascii="Times New Roman" w:hAnsi="Times New Roman" w:cs="Times New Roman"/>
          <w:sz w:val="28"/>
          <w:szCs w:val="28"/>
        </w:rPr>
        <w:t xml:space="preserve"> дії води, проте після перевищення раціональної межі може погіршувати умови структуроутворення та знижувати ступінь розширення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w:t>
      </w:r>
    </w:p>
    <w:p w14:paraId="4FFB4057" w14:textId="77777777" w:rsidR="00F17A48" w:rsidRPr="00F17A48" w:rsidRDefault="00F17A48" w:rsidP="00D31477">
      <w:pPr>
        <w:spacing w:after="0" w:line="276" w:lineRule="auto"/>
        <w:ind w:firstLine="709"/>
        <w:jc w:val="both"/>
        <w:rPr>
          <w:rFonts w:ascii="Times New Roman" w:hAnsi="Times New Roman" w:cs="Times New Roman"/>
          <w:sz w:val="28"/>
          <w:szCs w:val="28"/>
        </w:rPr>
      </w:pPr>
      <w:r w:rsidRPr="00F17A48">
        <w:rPr>
          <w:rFonts w:ascii="Times New Roman" w:hAnsi="Times New Roman" w:cs="Times New Roman"/>
          <w:sz w:val="28"/>
          <w:szCs w:val="28"/>
        </w:rPr>
        <w:lastRenderedPageBreak/>
        <w:t xml:space="preserve">Таким чином, вологість рослинної сировини є одним із визначальних технологічних параметрів </w:t>
      </w:r>
      <w:proofErr w:type="spellStart"/>
      <w:r w:rsidRPr="00F17A48">
        <w:rPr>
          <w:rFonts w:ascii="Times New Roman" w:hAnsi="Times New Roman" w:cs="Times New Roman"/>
          <w:sz w:val="28"/>
          <w:szCs w:val="28"/>
        </w:rPr>
        <w:t>термовакуумного</w:t>
      </w:r>
      <w:proofErr w:type="spellEnd"/>
      <w:r w:rsidRPr="00F17A48">
        <w:rPr>
          <w:rFonts w:ascii="Times New Roman" w:hAnsi="Times New Roman" w:cs="Times New Roman"/>
          <w:sz w:val="28"/>
          <w:szCs w:val="28"/>
        </w:rPr>
        <w:t xml:space="preserve"> </w:t>
      </w:r>
      <w:proofErr w:type="spellStart"/>
      <w:r w:rsidRPr="00F17A48">
        <w:rPr>
          <w:rFonts w:ascii="Times New Roman" w:hAnsi="Times New Roman" w:cs="Times New Roman"/>
          <w:sz w:val="28"/>
          <w:szCs w:val="28"/>
        </w:rPr>
        <w:t>екструдування</w:t>
      </w:r>
      <w:proofErr w:type="spellEnd"/>
      <w:r w:rsidRPr="00F17A48">
        <w:rPr>
          <w:rFonts w:ascii="Times New Roman" w:hAnsi="Times New Roman" w:cs="Times New Roman"/>
          <w:sz w:val="28"/>
          <w:szCs w:val="28"/>
        </w:rPr>
        <w:t xml:space="preserve">. Її вплив має комплексний характер і проявляється через зміну реологічних властивостей сировини, навантаження на робочі органи екструдера, питомих енерговитрат, інтенсивності випаровування води у вакуумній камері та формування структури готового продукту. Для зернової сировини перспективним напрямом подальших експериментальних досліджень є встановлення </w:t>
      </w:r>
      <w:proofErr w:type="spellStart"/>
      <w:r w:rsidRPr="00F17A48">
        <w:rPr>
          <w:rFonts w:ascii="Times New Roman" w:hAnsi="Times New Roman" w:cs="Times New Roman"/>
          <w:sz w:val="28"/>
          <w:szCs w:val="28"/>
        </w:rPr>
        <w:t>залежностей</w:t>
      </w:r>
      <w:proofErr w:type="spellEnd"/>
      <w:r w:rsidRPr="00F17A48">
        <w:rPr>
          <w:rFonts w:ascii="Times New Roman" w:hAnsi="Times New Roman" w:cs="Times New Roman"/>
          <w:sz w:val="28"/>
          <w:szCs w:val="28"/>
        </w:rPr>
        <w:t xml:space="preserve"> продуктивності, питомої енергоємності та коефіцієнта розширення від вологості в діапазоні 25–35 % з подальшим визначенням раціональної області за комплексним критерієм енергоефективності та якості </w:t>
      </w:r>
      <w:proofErr w:type="spellStart"/>
      <w:r w:rsidRPr="00F17A48">
        <w:rPr>
          <w:rFonts w:ascii="Times New Roman" w:hAnsi="Times New Roman" w:cs="Times New Roman"/>
          <w:sz w:val="28"/>
          <w:szCs w:val="28"/>
        </w:rPr>
        <w:t>екструдату</w:t>
      </w:r>
      <w:proofErr w:type="spellEnd"/>
      <w:r w:rsidRPr="00F17A48">
        <w:rPr>
          <w:rFonts w:ascii="Times New Roman" w:hAnsi="Times New Roman" w:cs="Times New Roman"/>
          <w:sz w:val="28"/>
          <w:szCs w:val="28"/>
        </w:rPr>
        <w:t>.</w:t>
      </w:r>
    </w:p>
    <w:p w14:paraId="136BEE8B" w14:textId="77777777" w:rsidR="004A4A46" w:rsidRDefault="004A4A46" w:rsidP="00D31477">
      <w:pPr>
        <w:spacing w:after="0" w:line="276" w:lineRule="auto"/>
        <w:ind w:firstLine="709"/>
        <w:jc w:val="both"/>
        <w:rPr>
          <w:rFonts w:ascii="Times New Roman" w:hAnsi="Times New Roman" w:cs="Times New Roman"/>
          <w:sz w:val="28"/>
          <w:szCs w:val="28"/>
          <w:lang w:val="en-US"/>
        </w:rPr>
      </w:pPr>
    </w:p>
    <w:p w14:paraId="0DD7592E" w14:textId="19F62812" w:rsidR="00F17A48" w:rsidRPr="004A4A46" w:rsidRDefault="00F17A48" w:rsidP="00D31477">
      <w:pPr>
        <w:spacing w:after="0" w:line="276" w:lineRule="auto"/>
        <w:jc w:val="center"/>
        <w:rPr>
          <w:rFonts w:ascii="Times New Roman" w:hAnsi="Times New Roman" w:cs="Times New Roman"/>
          <w:b/>
          <w:bCs/>
          <w:sz w:val="28"/>
          <w:szCs w:val="28"/>
        </w:rPr>
      </w:pPr>
      <w:r w:rsidRPr="004A4A46">
        <w:rPr>
          <w:rFonts w:ascii="Times New Roman" w:hAnsi="Times New Roman" w:cs="Times New Roman"/>
          <w:b/>
          <w:bCs/>
          <w:sz w:val="28"/>
          <w:szCs w:val="28"/>
        </w:rPr>
        <w:t>Список використаних джерел</w:t>
      </w:r>
    </w:p>
    <w:p w14:paraId="1D3588F9"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Bakhchevnikov</w:t>
      </w:r>
      <w:proofErr w:type="spellEnd"/>
      <w:r w:rsidRPr="004A4A46">
        <w:rPr>
          <w:rFonts w:ascii="Times New Roman" w:hAnsi="Times New Roman" w:cs="Times New Roman"/>
          <w:sz w:val="28"/>
          <w:szCs w:val="28"/>
        </w:rPr>
        <w:t xml:space="preserve"> O. N., </w:t>
      </w:r>
      <w:proofErr w:type="spellStart"/>
      <w:r w:rsidRPr="004A4A46">
        <w:rPr>
          <w:rFonts w:ascii="Times New Roman" w:hAnsi="Times New Roman" w:cs="Times New Roman"/>
          <w:sz w:val="28"/>
          <w:szCs w:val="28"/>
        </w:rPr>
        <w:t>Braginets</w:t>
      </w:r>
      <w:proofErr w:type="spellEnd"/>
      <w:r w:rsidRPr="004A4A46">
        <w:rPr>
          <w:rFonts w:ascii="Times New Roman" w:hAnsi="Times New Roman" w:cs="Times New Roman"/>
          <w:sz w:val="28"/>
          <w:szCs w:val="28"/>
        </w:rPr>
        <w:t xml:space="preserve"> S. V. </w:t>
      </w:r>
      <w:proofErr w:type="spellStart"/>
      <w:r w:rsidRPr="004A4A46">
        <w:rPr>
          <w:rFonts w:ascii="Times New Roman" w:hAnsi="Times New Roman" w:cs="Times New Roman"/>
          <w:sz w:val="28"/>
          <w:szCs w:val="28"/>
        </w:rPr>
        <w:t>Extrusion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plant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raw</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materials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in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production</w:t>
      </w:r>
      <w:proofErr w:type="spellEnd"/>
      <w:r w:rsidRPr="004A4A46">
        <w:rPr>
          <w:rFonts w:ascii="Times New Roman" w:hAnsi="Times New Roman" w:cs="Times New Roman"/>
          <w:sz w:val="28"/>
          <w:szCs w:val="28"/>
        </w:rPr>
        <w:t xml:space="preserve">: a </w:t>
      </w:r>
      <w:proofErr w:type="spellStart"/>
      <w:r w:rsidRPr="004A4A46">
        <w:rPr>
          <w:rFonts w:ascii="Times New Roman" w:hAnsi="Times New Roman" w:cs="Times New Roman"/>
          <w:sz w:val="28"/>
          <w:szCs w:val="28"/>
        </w:rPr>
        <w:t>review</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Processing</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Techniques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Technology</w:t>
      </w:r>
      <w:proofErr w:type="spellEnd"/>
      <w:r w:rsidRPr="004A4A46">
        <w:rPr>
          <w:rFonts w:ascii="Times New Roman" w:hAnsi="Times New Roman" w:cs="Times New Roman"/>
          <w:sz w:val="28"/>
          <w:szCs w:val="28"/>
        </w:rPr>
        <w:t xml:space="preserve">. 2020.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50,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4. P. 690–706. DOI: 10.21603/2074-9414-2020-4-690-706.</w:t>
      </w:r>
    </w:p>
    <w:p w14:paraId="55C1BB8C"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Ramchiary</w:t>
      </w:r>
      <w:proofErr w:type="spellEnd"/>
      <w:r w:rsidRPr="004A4A46">
        <w:rPr>
          <w:rFonts w:ascii="Times New Roman" w:hAnsi="Times New Roman" w:cs="Times New Roman"/>
          <w:sz w:val="28"/>
          <w:szCs w:val="28"/>
        </w:rPr>
        <w:t xml:space="preserve"> M., </w:t>
      </w:r>
      <w:proofErr w:type="spellStart"/>
      <w:r w:rsidRPr="004A4A46">
        <w:rPr>
          <w:rFonts w:ascii="Times New Roman" w:hAnsi="Times New Roman" w:cs="Times New Roman"/>
          <w:sz w:val="28"/>
          <w:szCs w:val="28"/>
        </w:rPr>
        <w:t>Das</w:t>
      </w:r>
      <w:proofErr w:type="spellEnd"/>
      <w:r w:rsidRPr="004A4A46">
        <w:rPr>
          <w:rFonts w:ascii="Times New Roman" w:hAnsi="Times New Roman" w:cs="Times New Roman"/>
          <w:sz w:val="28"/>
          <w:szCs w:val="28"/>
        </w:rPr>
        <w:t xml:space="preserve"> A. B. </w:t>
      </w:r>
      <w:proofErr w:type="spellStart"/>
      <w:r w:rsidRPr="004A4A46">
        <w:rPr>
          <w:rFonts w:ascii="Times New Roman" w:hAnsi="Times New Roman" w:cs="Times New Roman"/>
          <w:sz w:val="28"/>
          <w:szCs w:val="28"/>
        </w:rPr>
        <w:t>Vacuum-assisted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extrusion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red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rice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bao-dhan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flour</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Physical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phytochemical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comparison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with</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conventional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extrusion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Journal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Processing</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Preservation</w:t>
      </w:r>
      <w:proofErr w:type="spellEnd"/>
      <w:r w:rsidRPr="004A4A46">
        <w:rPr>
          <w:rFonts w:ascii="Times New Roman" w:hAnsi="Times New Roman" w:cs="Times New Roman"/>
          <w:sz w:val="28"/>
          <w:szCs w:val="28"/>
        </w:rPr>
        <w:t xml:space="preserve">. 2020.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44,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xml:space="preserve">. 8. </w:t>
      </w:r>
      <w:proofErr w:type="spellStart"/>
      <w:r w:rsidRPr="004A4A46">
        <w:rPr>
          <w:rFonts w:ascii="Times New Roman" w:hAnsi="Times New Roman" w:cs="Times New Roman"/>
          <w:sz w:val="28"/>
          <w:szCs w:val="28"/>
        </w:rPr>
        <w:t>Article</w:t>
      </w:r>
      <w:proofErr w:type="spellEnd"/>
      <w:r w:rsidRPr="004A4A46">
        <w:rPr>
          <w:rFonts w:ascii="Times New Roman" w:hAnsi="Times New Roman" w:cs="Times New Roman"/>
          <w:sz w:val="28"/>
          <w:szCs w:val="28"/>
        </w:rPr>
        <w:t xml:space="preserve"> e14570. DOI: 10.1111/jfpp.14570.</w:t>
      </w:r>
    </w:p>
    <w:p w14:paraId="5D597898"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Frolov</w:t>
      </w:r>
      <w:proofErr w:type="spellEnd"/>
      <w:r w:rsidRPr="004A4A46">
        <w:rPr>
          <w:rFonts w:ascii="Times New Roman" w:hAnsi="Times New Roman" w:cs="Times New Roman"/>
          <w:sz w:val="28"/>
          <w:szCs w:val="28"/>
        </w:rPr>
        <w:t xml:space="preserve"> D. I., </w:t>
      </w:r>
      <w:proofErr w:type="spellStart"/>
      <w:r w:rsidRPr="004A4A46">
        <w:rPr>
          <w:rFonts w:ascii="Times New Roman" w:hAnsi="Times New Roman" w:cs="Times New Roman"/>
          <w:sz w:val="28"/>
          <w:szCs w:val="28"/>
        </w:rPr>
        <w:t>Kurochkin</w:t>
      </w:r>
      <w:proofErr w:type="spellEnd"/>
      <w:r w:rsidRPr="004A4A46">
        <w:rPr>
          <w:rFonts w:ascii="Times New Roman" w:hAnsi="Times New Roman" w:cs="Times New Roman"/>
          <w:sz w:val="28"/>
          <w:szCs w:val="28"/>
        </w:rPr>
        <w:t xml:space="preserve"> A. A., </w:t>
      </w:r>
      <w:proofErr w:type="spellStart"/>
      <w:r w:rsidRPr="004A4A46">
        <w:rPr>
          <w:rFonts w:ascii="Times New Roman" w:hAnsi="Times New Roman" w:cs="Times New Roman"/>
          <w:sz w:val="28"/>
          <w:szCs w:val="28"/>
        </w:rPr>
        <w:t>Potapov</w:t>
      </w:r>
      <w:proofErr w:type="spellEnd"/>
      <w:r w:rsidRPr="004A4A46">
        <w:rPr>
          <w:rFonts w:ascii="Times New Roman" w:hAnsi="Times New Roman" w:cs="Times New Roman"/>
          <w:sz w:val="28"/>
          <w:szCs w:val="28"/>
        </w:rPr>
        <w:t xml:space="preserve"> M. A. </w:t>
      </w:r>
      <w:proofErr w:type="spellStart"/>
      <w:r w:rsidRPr="004A4A46">
        <w:rPr>
          <w:rFonts w:ascii="Times New Roman" w:hAnsi="Times New Roman" w:cs="Times New Roman"/>
          <w:sz w:val="28"/>
          <w:szCs w:val="28"/>
        </w:rPr>
        <w:t>Influence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thermal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vacuum</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extrusion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physical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physicochemical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properties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resulting</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product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Bulletin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Samara</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State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Agricultural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Academy</w:t>
      </w:r>
      <w:proofErr w:type="spellEnd"/>
      <w:r w:rsidRPr="004A4A46">
        <w:rPr>
          <w:rFonts w:ascii="Times New Roman" w:hAnsi="Times New Roman" w:cs="Times New Roman"/>
          <w:sz w:val="28"/>
          <w:szCs w:val="28"/>
        </w:rPr>
        <w:t xml:space="preserve">. 2024.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9,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4. P. 37–46. DOI: 10.55170/1997-3225-2024-9-4-37-46.</w:t>
      </w:r>
    </w:p>
    <w:p w14:paraId="24196AF7"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Janssen</w:t>
      </w:r>
      <w:proofErr w:type="spellEnd"/>
      <w:r w:rsidRPr="004A4A46">
        <w:rPr>
          <w:rFonts w:ascii="Times New Roman" w:hAnsi="Times New Roman" w:cs="Times New Roman"/>
          <w:sz w:val="28"/>
          <w:szCs w:val="28"/>
        </w:rPr>
        <w:t xml:space="preserve"> L. P. B. M., </w:t>
      </w:r>
      <w:proofErr w:type="spellStart"/>
      <w:r w:rsidRPr="004A4A46">
        <w:rPr>
          <w:rFonts w:ascii="Times New Roman" w:hAnsi="Times New Roman" w:cs="Times New Roman"/>
          <w:sz w:val="28"/>
          <w:szCs w:val="28"/>
        </w:rPr>
        <w:t>Mościcki</w:t>
      </w:r>
      <w:proofErr w:type="spellEnd"/>
      <w:r w:rsidRPr="004A4A46">
        <w:rPr>
          <w:rFonts w:ascii="Times New Roman" w:hAnsi="Times New Roman" w:cs="Times New Roman"/>
          <w:sz w:val="28"/>
          <w:szCs w:val="28"/>
        </w:rPr>
        <w:t xml:space="preserve"> L., </w:t>
      </w:r>
      <w:proofErr w:type="spellStart"/>
      <w:r w:rsidRPr="004A4A46">
        <w:rPr>
          <w:rFonts w:ascii="Times New Roman" w:hAnsi="Times New Roman" w:cs="Times New Roman"/>
          <w:sz w:val="28"/>
          <w:szCs w:val="28"/>
        </w:rPr>
        <w:t>Mitrus</w:t>
      </w:r>
      <w:proofErr w:type="spellEnd"/>
      <w:r w:rsidRPr="004A4A46">
        <w:rPr>
          <w:rFonts w:ascii="Times New Roman" w:hAnsi="Times New Roman" w:cs="Times New Roman"/>
          <w:sz w:val="28"/>
          <w:szCs w:val="28"/>
        </w:rPr>
        <w:t xml:space="preserve"> M. </w:t>
      </w:r>
      <w:proofErr w:type="spellStart"/>
      <w:r w:rsidRPr="004A4A46">
        <w:rPr>
          <w:rFonts w:ascii="Times New Roman" w:hAnsi="Times New Roman" w:cs="Times New Roman"/>
          <w:sz w:val="28"/>
          <w:szCs w:val="28"/>
        </w:rPr>
        <w:t>Energy</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aspects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in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extrusion-cooking</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International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Agrophysics</w:t>
      </w:r>
      <w:proofErr w:type="spellEnd"/>
      <w:r w:rsidRPr="004A4A46">
        <w:rPr>
          <w:rFonts w:ascii="Times New Roman" w:hAnsi="Times New Roman" w:cs="Times New Roman"/>
          <w:sz w:val="28"/>
          <w:szCs w:val="28"/>
        </w:rPr>
        <w:t xml:space="preserve">. 2002.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16,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3. P. 191–195.</w:t>
      </w:r>
    </w:p>
    <w:p w14:paraId="10FCDB7A"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Papchenko</w:t>
      </w:r>
      <w:proofErr w:type="spellEnd"/>
      <w:r w:rsidRPr="004A4A46">
        <w:rPr>
          <w:rFonts w:ascii="Times New Roman" w:hAnsi="Times New Roman" w:cs="Times New Roman"/>
          <w:sz w:val="28"/>
          <w:szCs w:val="28"/>
        </w:rPr>
        <w:t xml:space="preserve"> V. </w:t>
      </w:r>
      <w:proofErr w:type="spellStart"/>
      <w:r w:rsidRPr="004A4A46">
        <w:rPr>
          <w:rFonts w:ascii="Times New Roman" w:hAnsi="Times New Roman" w:cs="Times New Roman"/>
          <w:sz w:val="28"/>
          <w:szCs w:val="28"/>
        </w:rPr>
        <w:t>Yu</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Stepankova</w:t>
      </w:r>
      <w:proofErr w:type="spellEnd"/>
      <w:r w:rsidRPr="004A4A46">
        <w:rPr>
          <w:rFonts w:ascii="Times New Roman" w:hAnsi="Times New Roman" w:cs="Times New Roman"/>
          <w:sz w:val="28"/>
          <w:szCs w:val="28"/>
        </w:rPr>
        <w:t xml:space="preserve"> H. V., </w:t>
      </w:r>
      <w:proofErr w:type="spellStart"/>
      <w:r w:rsidRPr="004A4A46">
        <w:rPr>
          <w:rFonts w:ascii="Times New Roman" w:hAnsi="Times New Roman" w:cs="Times New Roman"/>
          <w:sz w:val="28"/>
          <w:szCs w:val="28"/>
        </w:rPr>
        <w:t>Karatieieva</w:t>
      </w:r>
      <w:proofErr w:type="spellEnd"/>
      <w:r w:rsidRPr="004A4A46">
        <w:rPr>
          <w:rFonts w:ascii="Times New Roman" w:hAnsi="Times New Roman" w:cs="Times New Roman"/>
          <w:sz w:val="28"/>
          <w:szCs w:val="28"/>
        </w:rPr>
        <w:t xml:space="preserve"> O. I., </w:t>
      </w:r>
      <w:proofErr w:type="spellStart"/>
      <w:r w:rsidRPr="004A4A46">
        <w:rPr>
          <w:rFonts w:ascii="Times New Roman" w:hAnsi="Times New Roman" w:cs="Times New Roman"/>
          <w:sz w:val="28"/>
          <w:szCs w:val="28"/>
        </w:rPr>
        <w:t>Balandina</w:t>
      </w:r>
      <w:proofErr w:type="spellEnd"/>
      <w:r w:rsidRPr="004A4A46">
        <w:rPr>
          <w:rFonts w:ascii="Times New Roman" w:hAnsi="Times New Roman" w:cs="Times New Roman"/>
          <w:sz w:val="28"/>
          <w:szCs w:val="28"/>
        </w:rPr>
        <w:t xml:space="preserve"> I. S., </w:t>
      </w:r>
      <w:proofErr w:type="spellStart"/>
      <w:r w:rsidRPr="004A4A46">
        <w:rPr>
          <w:rFonts w:ascii="Times New Roman" w:hAnsi="Times New Roman" w:cs="Times New Roman"/>
          <w:sz w:val="28"/>
          <w:szCs w:val="28"/>
        </w:rPr>
        <w:t>Shapovalenko</w:t>
      </w:r>
      <w:proofErr w:type="spellEnd"/>
      <w:r w:rsidRPr="004A4A46">
        <w:rPr>
          <w:rFonts w:ascii="Times New Roman" w:hAnsi="Times New Roman" w:cs="Times New Roman"/>
          <w:sz w:val="28"/>
          <w:szCs w:val="28"/>
        </w:rPr>
        <w:t xml:space="preserve"> D. O., </w:t>
      </w:r>
      <w:proofErr w:type="spellStart"/>
      <w:r w:rsidRPr="004A4A46">
        <w:rPr>
          <w:rFonts w:ascii="Times New Roman" w:hAnsi="Times New Roman" w:cs="Times New Roman"/>
          <w:sz w:val="28"/>
          <w:szCs w:val="28"/>
        </w:rPr>
        <w:t>Kariuk</w:t>
      </w:r>
      <w:proofErr w:type="spellEnd"/>
      <w:r w:rsidRPr="004A4A46">
        <w:rPr>
          <w:rFonts w:ascii="Times New Roman" w:hAnsi="Times New Roman" w:cs="Times New Roman"/>
          <w:sz w:val="28"/>
          <w:szCs w:val="28"/>
        </w:rPr>
        <w:t xml:space="preserve"> A. O., </w:t>
      </w:r>
      <w:proofErr w:type="spellStart"/>
      <w:r w:rsidRPr="004A4A46">
        <w:rPr>
          <w:rFonts w:ascii="Times New Roman" w:hAnsi="Times New Roman" w:cs="Times New Roman"/>
          <w:sz w:val="28"/>
          <w:szCs w:val="28"/>
        </w:rPr>
        <w:t>Statyvka</w:t>
      </w:r>
      <w:proofErr w:type="spellEnd"/>
      <w:r w:rsidRPr="004A4A46">
        <w:rPr>
          <w:rFonts w:ascii="Times New Roman" w:hAnsi="Times New Roman" w:cs="Times New Roman"/>
          <w:sz w:val="28"/>
          <w:szCs w:val="28"/>
        </w:rPr>
        <w:t xml:space="preserve"> Y. S., </w:t>
      </w:r>
      <w:proofErr w:type="spellStart"/>
      <w:r w:rsidRPr="004A4A46">
        <w:rPr>
          <w:rFonts w:ascii="Times New Roman" w:hAnsi="Times New Roman" w:cs="Times New Roman"/>
          <w:sz w:val="28"/>
          <w:szCs w:val="28"/>
        </w:rPr>
        <w:t>Bakumenko</w:t>
      </w:r>
      <w:proofErr w:type="spellEnd"/>
      <w:r w:rsidRPr="004A4A46">
        <w:rPr>
          <w:rFonts w:ascii="Times New Roman" w:hAnsi="Times New Roman" w:cs="Times New Roman"/>
          <w:sz w:val="28"/>
          <w:szCs w:val="28"/>
        </w:rPr>
        <w:t xml:space="preserve"> O. M., </w:t>
      </w:r>
      <w:proofErr w:type="spellStart"/>
      <w:r w:rsidRPr="004A4A46">
        <w:rPr>
          <w:rFonts w:ascii="Times New Roman" w:hAnsi="Times New Roman" w:cs="Times New Roman"/>
          <w:sz w:val="28"/>
          <w:szCs w:val="28"/>
        </w:rPr>
        <w:t>Melnyk</w:t>
      </w:r>
      <w:proofErr w:type="spellEnd"/>
      <w:r w:rsidRPr="004A4A46">
        <w:rPr>
          <w:rFonts w:ascii="Times New Roman" w:hAnsi="Times New Roman" w:cs="Times New Roman"/>
          <w:sz w:val="28"/>
          <w:szCs w:val="28"/>
        </w:rPr>
        <w:t xml:space="preserve"> A. V., </w:t>
      </w:r>
      <w:proofErr w:type="spellStart"/>
      <w:r w:rsidRPr="004A4A46">
        <w:rPr>
          <w:rFonts w:ascii="Times New Roman" w:hAnsi="Times New Roman" w:cs="Times New Roman"/>
          <w:sz w:val="28"/>
          <w:szCs w:val="28"/>
        </w:rPr>
        <w:t>Horbas</w:t>
      </w:r>
      <w:proofErr w:type="spellEnd"/>
      <w:r w:rsidRPr="004A4A46">
        <w:rPr>
          <w:rFonts w:ascii="Times New Roman" w:hAnsi="Times New Roman" w:cs="Times New Roman"/>
          <w:sz w:val="28"/>
          <w:szCs w:val="28"/>
        </w:rPr>
        <w:t xml:space="preserve"> S. M. </w:t>
      </w:r>
      <w:proofErr w:type="spellStart"/>
      <w:r w:rsidRPr="004A4A46">
        <w:rPr>
          <w:rFonts w:ascii="Times New Roman" w:hAnsi="Times New Roman" w:cs="Times New Roman"/>
          <w:sz w:val="28"/>
          <w:szCs w:val="28"/>
        </w:rPr>
        <w:t>Determining</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effect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raw</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materials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moisture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lipid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content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technological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properties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extruded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protein-fat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system</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Eastern-European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Journal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Enterprise</w:t>
      </w:r>
      <w:proofErr w:type="spellEnd"/>
      <w:r w:rsidRPr="004A4A46">
        <w:rPr>
          <w:rFonts w:ascii="Times New Roman" w:hAnsi="Times New Roman" w:cs="Times New Roman"/>
          <w:sz w:val="28"/>
          <w:szCs w:val="28"/>
        </w:rPr>
        <w:t xml:space="preserve"> Technologies. 2023.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4,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11 (124). P. 37–46. DOI: 10.15587/1729-4061.2023.285132.</w:t>
      </w:r>
    </w:p>
    <w:p w14:paraId="79F66DFB" w14:textId="77777777" w:rsidR="00F17A48"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Kim</w:t>
      </w:r>
      <w:proofErr w:type="spellEnd"/>
      <w:r w:rsidRPr="004A4A46">
        <w:rPr>
          <w:rFonts w:ascii="Times New Roman" w:hAnsi="Times New Roman" w:cs="Times New Roman"/>
          <w:sz w:val="28"/>
          <w:szCs w:val="28"/>
        </w:rPr>
        <w:t xml:space="preserve"> C. H., </w:t>
      </w:r>
      <w:proofErr w:type="spellStart"/>
      <w:r w:rsidRPr="004A4A46">
        <w:rPr>
          <w:rFonts w:ascii="Times New Roman" w:hAnsi="Times New Roman" w:cs="Times New Roman"/>
          <w:sz w:val="28"/>
          <w:szCs w:val="28"/>
        </w:rPr>
        <w:t>Jin</w:t>
      </w:r>
      <w:proofErr w:type="spellEnd"/>
      <w:r w:rsidRPr="004A4A46">
        <w:rPr>
          <w:rFonts w:ascii="Times New Roman" w:hAnsi="Times New Roman" w:cs="Times New Roman"/>
          <w:sz w:val="28"/>
          <w:szCs w:val="28"/>
        </w:rPr>
        <w:t xml:space="preserve"> T., </w:t>
      </w:r>
      <w:proofErr w:type="spellStart"/>
      <w:r w:rsidRPr="004A4A46">
        <w:rPr>
          <w:rFonts w:ascii="Times New Roman" w:hAnsi="Times New Roman" w:cs="Times New Roman"/>
          <w:sz w:val="28"/>
          <w:szCs w:val="28"/>
        </w:rPr>
        <w:t>Ryu</w:t>
      </w:r>
      <w:proofErr w:type="spellEnd"/>
      <w:r w:rsidRPr="004A4A46">
        <w:rPr>
          <w:rFonts w:ascii="Times New Roman" w:hAnsi="Times New Roman" w:cs="Times New Roman"/>
          <w:sz w:val="28"/>
          <w:szCs w:val="28"/>
        </w:rPr>
        <w:t xml:space="preserve"> G. H. </w:t>
      </w:r>
      <w:proofErr w:type="spellStart"/>
      <w:r w:rsidRPr="004A4A46">
        <w:rPr>
          <w:rFonts w:ascii="Times New Roman" w:hAnsi="Times New Roman" w:cs="Times New Roman"/>
          <w:sz w:val="28"/>
          <w:szCs w:val="28"/>
        </w:rPr>
        <w:t>Effects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moisture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content</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physical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properties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extruded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cereal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flours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Journal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the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Korean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Society</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Science</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and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Nutrition</w:t>
      </w:r>
      <w:proofErr w:type="spellEnd"/>
      <w:r w:rsidRPr="004A4A46">
        <w:rPr>
          <w:rFonts w:ascii="Times New Roman" w:hAnsi="Times New Roman" w:cs="Times New Roman"/>
          <w:sz w:val="28"/>
          <w:szCs w:val="28"/>
        </w:rPr>
        <w:t xml:space="preserve">. 2012.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41,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11. P. 1603–1610. DOI: 10.3746/jkfn.2012.41.11.1603.</w:t>
      </w:r>
    </w:p>
    <w:p w14:paraId="26A6A8B9" w14:textId="0508F6F9" w:rsidR="005D00D6" w:rsidRPr="004A4A46" w:rsidRDefault="00F17A48" w:rsidP="00D3147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4A4A46">
        <w:rPr>
          <w:rFonts w:ascii="Times New Roman" w:hAnsi="Times New Roman" w:cs="Times New Roman"/>
          <w:sz w:val="28"/>
          <w:szCs w:val="28"/>
        </w:rPr>
        <w:t>Thymi</w:t>
      </w:r>
      <w:proofErr w:type="spellEnd"/>
      <w:r w:rsidRPr="004A4A46">
        <w:rPr>
          <w:rFonts w:ascii="Times New Roman" w:hAnsi="Times New Roman" w:cs="Times New Roman"/>
          <w:sz w:val="28"/>
          <w:szCs w:val="28"/>
        </w:rPr>
        <w:t xml:space="preserve"> S., </w:t>
      </w:r>
      <w:proofErr w:type="spellStart"/>
      <w:r w:rsidRPr="004A4A46">
        <w:rPr>
          <w:rFonts w:ascii="Times New Roman" w:hAnsi="Times New Roman" w:cs="Times New Roman"/>
          <w:sz w:val="28"/>
          <w:szCs w:val="28"/>
        </w:rPr>
        <w:t>Krokida</w:t>
      </w:r>
      <w:proofErr w:type="spellEnd"/>
      <w:r w:rsidRPr="004A4A46">
        <w:rPr>
          <w:rFonts w:ascii="Times New Roman" w:hAnsi="Times New Roman" w:cs="Times New Roman"/>
          <w:sz w:val="28"/>
          <w:szCs w:val="28"/>
        </w:rPr>
        <w:t xml:space="preserve"> M. K., </w:t>
      </w:r>
      <w:proofErr w:type="spellStart"/>
      <w:r w:rsidRPr="004A4A46">
        <w:rPr>
          <w:rFonts w:ascii="Times New Roman" w:hAnsi="Times New Roman" w:cs="Times New Roman"/>
          <w:sz w:val="28"/>
          <w:szCs w:val="28"/>
        </w:rPr>
        <w:t>Pappa</w:t>
      </w:r>
      <w:proofErr w:type="spellEnd"/>
      <w:r w:rsidRPr="004A4A46">
        <w:rPr>
          <w:rFonts w:ascii="Times New Roman" w:hAnsi="Times New Roman" w:cs="Times New Roman"/>
          <w:sz w:val="28"/>
          <w:szCs w:val="28"/>
        </w:rPr>
        <w:t xml:space="preserve"> A., </w:t>
      </w:r>
      <w:proofErr w:type="spellStart"/>
      <w:r w:rsidRPr="004A4A46">
        <w:rPr>
          <w:rFonts w:ascii="Times New Roman" w:hAnsi="Times New Roman" w:cs="Times New Roman"/>
          <w:sz w:val="28"/>
          <w:szCs w:val="28"/>
        </w:rPr>
        <w:t>Maroulis</w:t>
      </w:r>
      <w:proofErr w:type="spellEnd"/>
      <w:r w:rsidRPr="004A4A46">
        <w:rPr>
          <w:rFonts w:ascii="Times New Roman" w:hAnsi="Times New Roman" w:cs="Times New Roman"/>
          <w:sz w:val="28"/>
          <w:szCs w:val="28"/>
        </w:rPr>
        <w:t xml:space="preserve"> Z. B. </w:t>
      </w:r>
      <w:proofErr w:type="spellStart"/>
      <w:r w:rsidRPr="004A4A46">
        <w:rPr>
          <w:rFonts w:ascii="Times New Roman" w:hAnsi="Times New Roman" w:cs="Times New Roman"/>
          <w:sz w:val="28"/>
          <w:szCs w:val="28"/>
        </w:rPr>
        <w:t>Structural</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properties</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of</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extruded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corn</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starch</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Journal</w:t>
      </w:r>
      <w:proofErr w:type="spellEnd"/>
      <w:r w:rsidRPr="004A4A46">
        <w:rPr>
          <w:rFonts w:ascii="Times New Roman" w:hAnsi="Times New Roman" w:cs="Times New Roman"/>
          <w:sz w:val="28"/>
          <w:szCs w:val="28"/>
        </w:rPr>
        <w:t xml:space="preserve"> of </w:t>
      </w:r>
      <w:proofErr w:type="spellStart"/>
      <w:r w:rsidRPr="004A4A46">
        <w:rPr>
          <w:rFonts w:ascii="Times New Roman" w:hAnsi="Times New Roman" w:cs="Times New Roman"/>
          <w:sz w:val="28"/>
          <w:szCs w:val="28"/>
        </w:rPr>
        <w:t>Food</w:t>
      </w:r>
      <w:proofErr w:type="spellEnd"/>
      <w:r w:rsidRPr="004A4A46">
        <w:rPr>
          <w:rFonts w:ascii="Times New Roman" w:hAnsi="Times New Roman" w:cs="Times New Roman"/>
          <w:sz w:val="28"/>
          <w:szCs w:val="28"/>
        </w:rPr>
        <w:t xml:space="preserve"> </w:t>
      </w:r>
      <w:proofErr w:type="spellStart"/>
      <w:r w:rsidRPr="004A4A46">
        <w:rPr>
          <w:rFonts w:ascii="Times New Roman" w:hAnsi="Times New Roman" w:cs="Times New Roman"/>
          <w:sz w:val="28"/>
          <w:szCs w:val="28"/>
        </w:rPr>
        <w:t>Engineering</w:t>
      </w:r>
      <w:proofErr w:type="spellEnd"/>
      <w:r w:rsidRPr="004A4A46">
        <w:rPr>
          <w:rFonts w:ascii="Times New Roman" w:hAnsi="Times New Roman" w:cs="Times New Roman"/>
          <w:sz w:val="28"/>
          <w:szCs w:val="28"/>
        </w:rPr>
        <w:t xml:space="preserve">. 2005. </w:t>
      </w:r>
      <w:proofErr w:type="spellStart"/>
      <w:r w:rsidRPr="004A4A46">
        <w:rPr>
          <w:rFonts w:ascii="Times New Roman" w:hAnsi="Times New Roman" w:cs="Times New Roman"/>
          <w:sz w:val="28"/>
          <w:szCs w:val="28"/>
        </w:rPr>
        <w:t>Vol</w:t>
      </w:r>
      <w:proofErr w:type="spellEnd"/>
      <w:r w:rsidRPr="004A4A46">
        <w:rPr>
          <w:rFonts w:ascii="Times New Roman" w:hAnsi="Times New Roman" w:cs="Times New Roman"/>
          <w:sz w:val="28"/>
          <w:szCs w:val="28"/>
        </w:rPr>
        <w:t xml:space="preserve">. 68, </w:t>
      </w:r>
      <w:proofErr w:type="spellStart"/>
      <w:r w:rsidRPr="004A4A46">
        <w:rPr>
          <w:rFonts w:ascii="Times New Roman" w:hAnsi="Times New Roman" w:cs="Times New Roman"/>
          <w:sz w:val="28"/>
          <w:szCs w:val="28"/>
        </w:rPr>
        <w:t>No</w:t>
      </w:r>
      <w:proofErr w:type="spellEnd"/>
      <w:r w:rsidRPr="004A4A46">
        <w:rPr>
          <w:rFonts w:ascii="Times New Roman" w:hAnsi="Times New Roman" w:cs="Times New Roman"/>
          <w:sz w:val="28"/>
          <w:szCs w:val="28"/>
        </w:rPr>
        <w:t>. 4. P. 519–526. DOI: 10.1016/j.jfoodeng.2004.07.002.</w:t>
      </w:r>
    </w:p>
    <w:sectPr w:rsidR="005D00D6" w:rsidRPr="004A4A46" w:rsidSect="005D00D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9D391A"/>
    <w:multiLevelType w:val="hybridMultilevel"/>
    <w:tmpl w:val="C130CD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82922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498"/>
    <w:rsid w:val="000D77AF"/>
    <w:rsid w:val="00293F69"/>
    <w:rsid w:val="00414AE7"/>
    <w:rsid w:val="0042298E"/>
    <w:rsid w:val="004A4A46"/>
    <w:rsid w:val="00595CB8"/>
    <w:rsid w:val="005D00D6"/>
    <w:rsid w:val="005D7B15"/>
    <w:rsid w:val="00923498"/>
    <w:rsid w:val="00D31477"/>
    <w:rsid w:val="00F17A48"/>
    <w:rsid w:val="00F9528A"/>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A48A"/>
  <w15:chartTrackingRefBased/>
  <w15:docId w15:val="{65DDAB3D-5446-4674-AC88-3F9954AD6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00D6"/>
  </w:style>
  <w:style w:type="paragraph" w:styleId="1">
    <w:name w:val="heading 1"/>
    <w:basedOn w:val="a"/>
    <w:next w:val="a"/>
    <w:link w:val="10"/>
    <w:uiPriority w:val="9"/>
    <w:qFormat/>
    <w:rsid w:val="00923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23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234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234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234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234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34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34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34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4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234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234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234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234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234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3498"/>
    <w:rPr>
      <w:rFonts w:eastAsiaTheme="majorEastAsia" w:cstheme="majorBidi"/>
      <w:color w:val="595959" w:themeColor="text1" w:themeTint="A6"/>
    </w:rPr>
  </w:style>
  <w:style w:type="character" w:customStyle="1" w:styleId="80">
    <w:name w:val="Заголовок 8 Знак"/>
    <w:basedOn w:val="a0"/>
    <w:link w:val="8"/>
    <w:uiPriority w:val="9"/>
    <w:semiHidden/>
    <w:rsid w:val="009234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3498"/>
    <w:rPr>
      <w:rFonts w:eastAsiaTheme="majorEastAsia" w:cstheme="majorBidi"/>
      <w:color w:val="272727" w:themeColor="text1" w:themeTint="D8"/>
    </w:rPr>
  </w:style>
  <w:style w:type="paragraph" w:styleId="a3">
    <w:name w:val="Title"/>
    <w:basedOn w:val="a"/>
    <w:next w:val="a"/>
    <w:link w:val="a4"/>
    <w:uiPriority w:val="10"/>
    <w:qFormat/>
    <w:rsid w:val="009234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234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34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234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23498"/>
    <w:pPr>
      <w:spacing w:before="160"/>
      <w:jc w:val="center"/>
    </w:pPr>
    <w:rPr>
      <w:i/>
      <w:iCs/>
      <w:color w:val="404040" w:themeColor="text1" w:themeTint="BF"/>
    </w:rPr>
  </w:style>
  <w:style w:type="character" w:customStyle="1" w:styleId="a8">
    <w:name w:val="Цитата Знак"/>
    <w:basedOn w:val="a0"/>
    <w:link w:val="a7"/>
    <w:uiPriority w:val="29"/>
    <w:rsid w:val="00923498"/>
    <w:rPr>
      <w:i/>
      <w:iCs/>
      <w:color w:val="404040" w:themeColor="text1" w:themeTint="BF"/>
    </w:rPr>
  </w:style>
  <w:style w:type="paragraph" w:styleId="a9">
    <w:name w:val="List Paragraph"/>
    <w:basedOn w:val="a"/>
    <w:uiPriority w:val="34"/>
    <w:qFormat/>
    <w:rsid w:val="00923498"/>
    <w:pPr>
      <w:ind w:left="720"/>
      <w:contextualSpacing/>
    </w:pPr>
  </w:style>
  <w:style w:type="character" w:styleId="aa">
    <w:name w:val="Intense Emphasis"/>
    <w:basedOn w:val="a0"/>
    <w:uiPriority w:val="21"/>
    <w:qFormat/>
    <w:rsid w:val="00923498"/>
    <w:rPr>
      <w:i/>
      <w:iCs/>
      <w:color w:val="0F4761" w:themeColor="accent1" w:themeShade="BF"/>
    </w:rPr>
  </w:style>
  <w:style w:type="paragraph" w:styleId="ab">
    <w:name w:val="Intense Quote"/>
    <w:basedOn w:val="a"/>
    <w:next w:val="a"/>
    <w:link w:val="ac"/>
    <w:uiPriority w:val="30"/>
    <w:qFormat/>
    <w:rsid w:val="00923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23498"/>
    <w:rPr>
      <w:i/>
      <w:iCs/>
      <w:color w:val="0F4761" w:themeColor="accent1" w:themeShade="BF"/>
    </w:rPr>
  </w:style>
  <w:style w:type="character" w:styleId="ad">
    <w:name w:val="Intense Reference"/>
    <w:basedOn w:val="a0"/>
    <w:uiPriority w:val="32"/>
    <w:qFormat/>
    <w:rsid w:val="009234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6329</Words>
  <Characters>3608</Characters>
  <Application>Microsoft Office Word</Application>
  <DocSecurity>0</DocSecurity>
  <Lines>30</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3</cp:revision>
  <dcterms:created xsi:type="dcterms:W3CDTF">2026-10-05T14:52:00Z</dcterms:created>
  <dcterms:modified xsi:type="dcterms:W3CDTF">2026-10-05T14:54:00Z</dcterms:modified>
</cp:coreProperties>
</file>