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B6C4F" w14:textId="2AD1B251" w:rsidR="00481B53" w:rsidRPr="000E1174" w:rsidRDefault="00481B53" w:rsidP="00C31018">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C17178" w:rsidRPr="00C17178">
        <w:rPr>
          <w:rFonts w:ascii="Times New Roman" w:hAnsi="Times New Roman" w:cs="Times New Roman"/>
          <w:sz w:val="28"/>
          <w:szCs w:val="28"/>
        </w:rPr>
        <w:t>637.116</w:t>
      </w:r>
    </w:p>
    <w:p w14:paraId="3D36FF92" w14:textId="77777777" w:rsidR="00481B53" w:rsidRPr="000E1174" w:rsidRDefault="00481B53" w:rsidP="00C31018">
      <w:pPr>
        <w:spacing w:after="0" w:line="276" w:lineRule="auto"/>
        <w:jc w:val="center"/>
        <w:rPr>
          <w:rFonts w:ascii="Times New Roman" w:hAnsi="Times New Roman" w:cs="Times New Roman"/>
          <w:sz w:val="28"/>
          <w:szCs w:val="28"/>
        </w:rPr>
      </w:pPr>
    </w:p>
    <w:p w14:paraId="096C1754" w14:textId="2CAA38A2" w:rsidR="00481B53" w:rsidRDefault="00C17178" w:rsidP="00C31018">
      <w:pPr>
        <w:spacing w:after="0" w:line="276" w:lineRule="auto"/>
        <w:jc w:val="center"/>
        <w:rPr>
          <w:rFonts w:ascii="Times New Roman" w:hAnsi="Times New Roman" w:cs="Times New Roman"/>
          <w:b/>
          <w:bCs/>
          <w:sz w:val="28"/>
          <w:szCs w:val="28"/>
        </w:rPr>
      </w:pPr>
      <w:r w:rsidRPr="00C17178">
        <w:rPr>
          <w:rFonts w:ascii="Times New Roman" w:hAnsi="Times New Roman" w:cs="Times New Roman"/>
          <w:b/>
          <w:bCs/>
          <w:sz w:val="28"/>
          <w:szCs w:val="28"/>
        </w:rPr>
        <w:t>ВПЛИВ ТЕХНІЧНОГО СТАНУ МОЛОЧНОГО НАСОСА НА ПРОДУКТИВНІСТЬ ДОЇЛЬНОЇ УСТАНОВКИ</w:t>
      </w:r>
    </w:p>
    <w:p w14:paraId="7F1FD2F2" w14:textId="77777777" w:rsidR="00C17178" w:rsidRDefault="00C17178" w:rsidP="00C31018">
      <w:pPr>
        <w:spacing w:after="0" w:line="276" w:lineRule="auto"/>
        <w:rPr>
          <w:rFonts w:ascii="Times New Roman" w:hAnsi="Times New Roman" w:cs="Times New Roman"/>
          <w:sz w:val="28"/>
          <w:szCs w:val="28"/>
        </w:rPr>
      </w:pPr>
    </w:p>
    <w:p w14:paraId="12C7A7B2" w14:textId="762BAA02" w:rsidR="00481B53" w:rsidRDefault="00481B53" w:rsidP="00C31018">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Куликівський В.Л.</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proofErr w:type="spellStart"/>
      <w:r w:rsidR="00C17178">
        <w:rPr>
          <w:rFonts w:ascii="Times New Roman" w:hAnsi="Times New Roman" w:cs="Times New Roman"/>
          <w:b/>
          <w:bCs/>
          <w:sz w:val="28"/>
          <w:szCs w:val="28"/>
        </w:rPr>
        <w:t>Бережницький</w:t>
      </w:r>
      <w:proofErr w:type="spellEnd"/>
      <w:r w:rsidR="00C17178">
        <w:rPr>
          <w:rFonts w:ascii="Times New Roman" w:hAnsi="Times New Roman" w:cs="Times New Roman"/>
          <w:b/>
          <w:bCs/>
          <w:sz w:val="28"/>
          <w:szCs w:val="28"/>
        </w:rPr>
        <w:t xml:space="preserve"> М.В.</w:t>
      </w:r>
      <w:r>
        <w:rPr>
          <w:rFonts w:ascii="Times New Roman" w:hAnsi="Times New Roman" w:cs="Times New Roman"/>
          <w:sz w:val="28"/>
          <w:szCs w:val="28"/>
        </w:rPr>
        <w:t xml:space="preserve"> здобувач освіти</w:t>
      </w:r>
    </w:p>
    <w:p w14:paraId="10790849" w14:textId="77777777" w:rsidR="00481B53" w:rsidRPr="00C31018" w:rsidRDefault="00481B53" w:rsidP="00C31018">
      <w:pPr>
        <w:spacing w:after="0" w:line="276" w:lineRule="auto"/>
        <w:jc w:val="center"/>
        <w:rPr>
          <w:rFonts w:ascii="Times New Roman" w:hAnsi="Times New Roman" w:cs="Times New Roman"/>
          <w:i/>
          <w:iCs/>
          <w:sz w:val="28"/>
          <w:szCs w:val="28"/>
        </w:rPr>
      </w:pPr>
      <w:r w:rsidRPr="00C31018">
        <w:rPr>
          <w:rFonts w:ascii="Times New Roman" w:hAnsi="Times New Roman" w:cs="Times New Roman"/>
          <w:i/>
          <w:iCs/>
          <w:sz w:val="28"/>
          <w:szCs w:val="28"/>
        </w:rPr>
        <w:t>Поліський національний університет, м. Житомир</w:t>
      </w:r>
    </w:p>
    <w:p w14:paraId="0E3F9EB1" w14:textId="77777777" w:rsidR="00481B53" w:rsidRDefault="00481B53" w:rsidP="00C31018">
      <w:pPr>
        <w:spacing w:after="0" w:line="276" w:lineRule="auto"/>
        <w:jc w:val="center"/>
        <w:rPr>
          <w:rFonts w:ascii="Times New Roman" w:hAnsi="Times New Roman" w:cs="Times New Roman"/>
          <w:sz w:val="28"/>
          <w:szCs w:val="28"/>
        </w:rPr>
      </w:pPr>
    </w:p>
    <w:p w14:paraId="7B500ED0"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Підвищення ефективності виробництва молока значною мірою залежить від технічного рівня та надійності обладнання, що використовується під час машинного доїння. Одним із важливих елементів доїльної установки є молочний насос, який забезпечує переміщення молока з молокоприймальної камери, що перебуває під вакуумом, до системи попереднього охолодження та резервуара для зберігання. Відповідність фактичної подачі насоса технологічному потоку молока визначає стабільність роботи всієї транспортної системи доїльної установки.</w:t>
      </w:r>
    </w:p>
    <w:p w14:paraId="49552B36"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Аналіз наукових досліджень показує, що продуктивність молочного насоса суттєво залежить від його конструктивних параметрів та технічного стану. Під час експериментального дослідження молочного насоса НМУ-6 встановлено, що зміна конструкції робочого колеса дозволила підвищити його продуктивність. За вакууму 51 кПа та тиску в молочній лінії 1,2 </w:t>
      </w:r>
      <w:proofErr w:type="spellStart"/>
      <w:r w:rsidRPr="002E0A3C">
        <w:rPr>
          <w:rFonts w:ascii="Times New Roman" w:hAnsi="Times New Roman" w:cs="Times New Roman"/>
          <w:sz w:val="28"/>
          <w:szCs w:val="28"/>
        </w:rPr>
        <w:t>кгс</w:t>
      </w:r>
      <w:proofErr w:type="spellEnd"/>
      <w:r w:rsidRPr="002E0A3C">
        <w:rPr>
          <w:rFonts w:ascii="Times New Roman" w:hAnsi="Times New Roman" w:cs="Times New Roman"/>
          <w:sz w:val="28"/>
          <w:szCs w:val="28"/>
        </w:rPr>
        <w:t xml:space="preserve">/см² продуктивність експериментального насоса становила 5 м³/год, а при перекачуванні за атмосферного тиску – 14 м³/год. Модифікований насос перевищував серійний за продуктивністю у 1,5 </w:t>
      </w:r>
      <w:proofErr w:type="spellStart"/>
      <w:r w:rsidRPr="002E0A3C">
        <w:rPr>
          <w:rFonts w:ascii="Times New Roman" w:hAnsi="Times New Roman" w:cs="Times New Roman"/>
          <w:sz w:val="28"/>
          <w:szCs w:val="28"/>
        </w:rPr>
        <w:t>раза</w:t>
      </w:r>
      <w:proofErr w:type="spellEnd"/>
      <w:r w:rsidRPr="002E0A3C">
        <w:rPr>
          <w:rFonts w:ascii="Times New Roman" w:hAnsi="Times New Roman" w:cs="Times New Roman"/>
          <w:sz w:val="28"/>
          <w:szCs w:val="28"/>
        </w:rPr>
        <w:t>, одночасно забезпечуючи зменшення витрат електроенергії [1].</w:t>
      </w:r>
    </w:p>
    <w:p w14:paraId="636794F3"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У процесі експлуатації робочі поверхні насоса поступово зношуються, змінюються зазори між робочим колесом і корпусом, погіршується стан ущільнень, підшипникових вузлів та приводу. Особливо суттєвим є збільшення робочих зазорів у відцентрових насосах. Дослідження M. </w:t>
      </w:r>
      <w:proofErr w:type="spellStart"/>
      <w:r w:rsidRPr="002E0A3C">
        <w:rPr>
          <w:rFonts w:ascii="Times New Roman" w:hAnsi="Times New Roman" w:cs="Times New Roman"/>
          <w:sz w:val="28"/>
          <w:szCs w:val="28"/>
        </w:rPr>
        <w:t>DaqiqShirazi</w:t>
      </w:r>
      <w:proofErr w:type="spellEnd"/>
      <w:r w:rsidRPr="002E0A3C">
        <w:rPr>
          <w:rFonts w:ascii="Times New Roman" w:hAnsi="Times New Roman" w:cs="Times New Roman"/>
          <w:sz w:val="28"/>
          <w:szCs w:val="28"/>
        </w:rPr>
        <w:t xml:space="preserve"> та ін. показало, що збільшення зазору внаслідок зношування призводить до зростання внутрішніх перетікань робочої рідини та зниження об'ємного коефіцієнта корисної дії і подачі відцентрового насоса [2]. Отже, навіть за незмінної частоти обертання електродвигуна фактична продуктивність зношеного молочного насоса може бути нижчою за номінальну.</w:t>
      </w:r>
    </w:p>
    <w:p w14:paraId="17CA226B"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В умовах доїльної установки це має особливе значення, оскільки надходження молока до </w:t>
      </w:r>
      <w:proofErr w:type="spellStart"/>
      <w:r w:rsidRPr="002E0A3C">
        <w:rPr>
          <w:rFonts w:ascii="Times New Roman" w:hAnsi="Times New Roman" w:cs="Times New Roman"/>
          <w:sz w:val="28"/>
          <w:szCs w:val="28"/>
        </w:rPr>
        <w:t>молокоприймача</w:t>
      </w:r>
      <w:proofErr w:type="spellEnd"/>
      <w:r w:rsidRPr="002E0A3C">
        <w:rPr>
          <w:rFonts w:ascii="Times New Roman" w:hAnsi="Times New Roman" w:cs="Times New Roman"/>
          <w:sz w:val="28"/>
          <w:szCs w:val="28"/>
        </w:rPr>
        <w:t xml:space="preserve"> є нерівномірним. Інтенсивність потоку змінюється залежно від кількості одночасно підключених доїльних апаратів та фази молоковіддачі тварин. У сучасних установках рівень молока в </w:t>
      </w:r>
      <w:proofErr w:type="spellStart"/>
      <w:r w:rsidRPr="002E0A3C">
        <w:rPr>
          <w:rFonts w:ascii="Times New Roman" w:hAnsi="Times New Roman" w:cs="Times New Roman"/>
          <w:sz w:val="28"/>
          <w:szCs w:val="28"/>
        </w:rPr>
        <w:t>молокоприймачі</w:t>
      </w:r>
      <w:proofErr w:type="spellEnd"/>
      <w:r w:rsidRPr="002E0A3C">
        <w:rPr>
          <w:rFonts w:ascii="Times New Roman" w:hAnsi="Times New Roman" w:cs="Times New Roman"/>
          <w:sz w:val="28"/>
          <w:szCs w:val="28"/>
        </w:rPr>
        <w:t xml:space="preserve"> контролюється датчиками, а частота обертання молочного </w:t>
      </w:r>
      <w:r w:rsidRPr="002E0A3C">
        <w:rPr>
          <w:rFonts w:ascii="Times New Roman" w:hAnsi="Times New Roman" w:cs="Times New Roman"/>
          <w:sz w:val="28"/>
          <w:szCs w:val="28"/>
        </w:rPr>
        <w:lastRenderedPageBreak/>
        <w:t xml:space="preserve">насоса може регулюватися частотним перетворювачем. Таке регулювання згладжує коливання подачі та дозволяє зменшити пікову швидкість руху молока через пластинчастий охолоджувач [3]. Відповідно, порушення роботи датчика рівня, системи керування або самого насоса може призводити до накопичення молока в </w:t>
      </w:r>
      <w:proofErr w:type="spellStart"/>
      <w:r w:rsidRPr="002E0A3C">
        <w:rPr>
          <w:rFonts w:ascii="Times New Roman" w:hAnsi="Times New Roman" w:cs="Times New Roman"/>
          <w:sz w:val="28"/>
          <w:szCs w:val="28"/>
        </w:rPr>
        <w:t>молокоприймачі</w:t>
      </w:r>
      <w:proofErr w:type="spellEnd"/>
      <w:r w:rsidRPr="002E0A3C">
        <w:rPr>
          <w:rFonts w:ascii="Times New Roman" w:hAnsi="Times New Roman" w:cs="Times New Roman"/>
          <w:sz w:val="28"/>
          <w:szCs w:val="28"/>
        </w:rPr>
        <w:t>, частих пусків насоса та нестабільності потоку.</w:t>
      </w:r>
    </w:p>
    <w:p w14:paraId="40972B2D"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Технічний стан молочного насоса необхідно розглядати не ізольовано, а як складову загального технічного стану молочно-вакуумної системи. Сучасні дослідження показують, що стабілізація параметрів доїльної системи безпосередньо впливає на інтенсивність видоювання. У дослідженні D. J. </w:t>
      </w:r>
      <w:proofErr w:type="spellStart"/>
      <w:r w:rsidRPr="002E0A3C">
        <w:rPr>
          <w:rFonts w:ascii="Times New Roman" w:hAnsi="Times New Roman" w:cs="Times New Roman"/>
          <w:sz w:val="28"/>
          <w:szCs w:val="28"/>
        </w:rPr>
        <w:t>Reinemann</w:t>
      </w:r>
      <w:proofErr w:type="spellEnd"/>
      <w:r w:rsidRPr="002E0A3C">
        <w:rPr>
          <w:rFonts w:ascii="Times New Roman" w:hAnsi="Times New Roman" w:cs="Times New Roman"/>
          <w:sz w:val="28"/>
          <w:szCs w:val="28"/>
        </w:rPr>
        <w:t xml:space="preserve"> та ін. система, яка підтримувала стабільніший вакуум у процесі доїння, забезпечила збільшення швидкості видалення молока на рівні </w:t>
      </w:r>
      <w:proofErr w:type="spellStart"/>
      <w:r w:rsidRPr="002E0A3C">
        <w:rPr>
          <w:rFonts w:ascii="Times New Roman" w:hAnsi="Times New Roman" w:cs="Times New Roman"/>
          <w:sz w:val="28"/>
          <w:szCs w:val="28"/>
        </w:rPr>
        <w:t>вимені</w:t>
      </w:r>
      <w:proofErr w:type="spellEnd"/>
      <w:r w:rsidRPr="002E0A3C">
        <w:rPr>
          <w:rFonts w:ascii="Times New Roman" w:hAnsi="Times New Roman" w:cs="Times New Roman"/>
          <w:sz w:val="28"/>
          <w:szCs w:val="28"/>
        </w:rPr>
        <w:t xml:space="preserve"> на 12 %, а на рівні окремої чверті </w:t>
      </w:r>
      <w:proofErr w:type="spellStart"/>
      <w:r w:rsidRPr="002E0A3C">
        <w:rPr>
          <w:rFonts w:ascii="Times New Roman" w:hAnsi="Times New Roman" w:cs="Times New Roman"/>
          <w:sz w:val="28"/>
          <w:szCs w:val="28"/>
        </w:rPr>
        <w:t>вимені</w:t>
      </w:r>
      <w:proofErr w:type="spellEnd"/>
      <w:r w:rsidRPr="002E0A3C">
        <w:rPr>
          <w:rFonts w:ascii="Times New Roman" w:hAnsi="Times New Roman" w:cs="Times New Roman"/>
          <w:sz w:val="28"/>
          <w:szCs w:val="28"/>
        </w:rPr>
        <w:t xml:space="preserve"> – на 16 % порівняно з традиційною системою регулювання [4]. Це підтверджує важливість узгодженої роботи всіх елементів молочно-вакуумної системи, зокрема молочного насоса.</w:t>
      </w:r>
    </w:p>
    <w:p w14:paraId="0260420E"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Дослідження роботи доїльних установок на 184 молочних фермах також показало, що стабільність вакууму залежить від технічних параметрів молокопроводу, його діаметра, довжини, ухилу, кількості доїльних апаратів та ефективного резерву вакуумної системи [5]. Таким чином, зниження пропускної здатності окремих елементів транспортної системи молока здатне порушувати розрахунковий режим роботи установки в цілому.</w:t>
      </w:r>
    </w:p>
    <w:p w14:paraId="41D2CB5B"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Основними причинами зменшення фактичної продуктивності молочного насоса в процесі експлуатації можна вважати зношування робочого колеса та корпусу; збільшення технологічних зазорів; погіршення стану ущільнень; забруднення робочих каналів; збільшення гідравлічного опору молокопроводу; несправність датчика рівня молока; відхилення частоти обертання робочого колеса від установленого значення; зношування підшипникових вузлів та погіршення технічного стану електродвигуна. Сукупна дія цих чинників призводить до зменшення подачі Q, напору H, коефіцієнта корисної дії насоса та збільшення питомих енерговитрат.</w:t>
      </w:r>
    </w:p>
    <w:p w14:paraId="4ED04BB6"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При цьому прагнення компенсувати втрату продуктивності простим збільшенням частоти обертання робочого колеса не завжди є доцільним. Надмірно інтенсивне механічне транспортування здатне негативно впливати на молочний жир. G. J. </w:t>
      </w:r>
      <w:proofErr w:type="spellStart"/>
      <w:r w:rsidRPr="002E0A3C">
        <w:rPr>
          <w:rFonts w:ascii="Times New Roman" w:hAnsi="Times New Roman" w:cs="Times New Roman"/>
          <w:sz w:val="28"/>
          <w:szCs w:val="28"/>
        </w:rPr>
        <w:t>Escobar</w:t>
      </w:r>
      <w:proofErr w:type="spellEnd"/>
      <w:r w:rsidRPr="002E0A3C">
        <w:rPr>
          <w:rFonts w:ascii="Times New Roman" w:hAnsi="Times New Roman" w:cs="Times New Roman"/>
          <w:sz w:val="28"/>
          <w:szCs w:val="28"/>
        </w:rPr>
        <w:t xml:space="preserve"> та R. L. </w:t>
      </w:r>
      <w:proofErr w:type="spellStart"/>
      <w:r w:rsidRPr="002E0A3C">
        <w:rPr>
          <w:rFonts w:ascii="Times New Roman" w:hAnsi="Times New Roman" w:cs="Times New Roman"/>
          <w:sz w:val="28"/>
          <w:szCs w:val="28"/>
        </w:rPr>
        <w:t>Bradley</w:t>
      </w:r>
      <w:proofErr w:type="spellEnd"/>
      <w:r w:rsidRPr="002E0A3C">
        <w:rPr>
          <w:rFonts w:ascii="Times New Roman" w:hAnsi="Times New Roman" w:cs="Times New Roman"/>
          <w:sz w:val="28"/>
          <w:szCs w:val="28"/>
        </w:rPr>
        <w:t xml:space="preserve"> встановили, що використання насоса з частотою обертання ротора 3500 хв⁻¹ призводило до більшого вмісту вільних жирних кислот у молоці порівняно з насосом, який працював із частотою 1750 хв⁻¹. Після зберігання в таких пробах також спостерігалося інтенсивніше зростання ознак </w:t>
      </w:r>
      <w:proofErr w:type="spellStart"/>
      <w:r w:rsidRPr="002E0A3C">
        <w:rPr>
          <w:rFonts w:ascii="Times New Roman" w:hAnsi="Times New Roman" w:cs="Times New Roman"/>
          <w:sz w:val="28"/>
          <w:szCs w:val="28"/>
        </w:rPr>
        <w:t>ліполізу</w:t>
      </w:r>
      <w:proofErr w:type="spellEnd"/>
      <w:r w:rsidRPr="002E0A3C">
        <w:rPr>
          <w:rFonts w:ascii="Times New Roman" w:hAnsi="Times New Roman" w:cs="Times New Roman"/>
          <w:sz w:val="28"/>
          <w:szCs w:val="28"/>
        </w:rPr>
        <w:t xml:space="preserve"> [6]. Таким чином, оптимальний технічний стан насоса передбачає не максимальну, а раціональну швидкість транспортування молока.</w:t>
      </w:r>
    </w:p>
    <w:p w14:paraId="27F553F2"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lastRenderedPageBreak/>
        <w:t xml:space="preserve">Сучасні дослідження додатково підтверджують необхідність урахування режиму перекачування під час оцінювання якості молока. У 2025 р. H. M. </w:t>
      </w:r>
      <w:proofErr w:type="spellStart"/>
      <w:r w:rsidRPr="002E0A3C">
        <w:rPr>
          <w:rFonts w:ascii="Times New Roman" w:hAnsi="Times New Roman" w:cs="Times New Roman"/>
          <w:sz w:val="28"/>
          <w:szCs w:val="28"/>
        </w:rPr>
        <w:t>Woodhouse</w:t>
      </w:r>
      <w:proofErr w:type="spellEnd"/>
      <w:r w:rsidRPr="002E0A3C">
        <w:rPr>
          <w:rFonts w:ascii="Times New Roman" w:hAnsi="Times New Roman" w:cs="Times New Roman"/>
          <w:sz w:val="28"/>
          <w:szCs w:val="28"/>
        </w:rPr>
        <w:t xml:space="preserve"> та ін. проаналізували 121 ферму з автоматичними системами доїння та порівняли відцентрові насоси з насосами об'ємного типу. Автори виявили лише слабку і статистично незначущу різницю у вмісті вільних жирних кислот залежно від типу насоса, що свідчить про комплексний характер впливу технічних і технологічних факторів [7]. Отже, для оцінювання роботи молочного насоса доцільно враховувати не лише його конструктивний тип, але й фактичний технічний стан, частоту обертання, характер потоку та режим експлуатації.</w:t>
      </w:r>
    </w:p>
    <w:p w14:paraId="09A221B1"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Важливим наслідком погіршення технічного стану є також збільшення енергоємності технологічного процесу. Дослідження енергоспоживання 22 молочних ферм показало, що безпосередньо на процес доїння припадало близько 20 % споживання електроенергії ферми [8]. Збільшення механічних і гідравлічних втрат у насосі означає, що для перекачування однакової кількості молока необхідно витрачати більше енергії. Тому контроль технічного стану молочного насоса є одночасно засобом підтримання продуктивності доїльної установки та зменшення питомих експлуатаційних витрат.</w:t>
      </w:r>
    </w:p>
    <w:p w14:paraId="2BF32E50"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Для оперативного оцінювання технічного стану молочного насоса пропонується використовувати коефіцієнт відносної продуктивності:</w:t>
      </w:r>
    </w:p>
    <w:p w14:paraId="2B447095" w14:textId="1D326595" w:rsidR="002E0A3C" w:rsidRPr="002E0A3C" w:rsidRDefault="002E0A3C" w:rsidP="00C31018">
      <w:pPr>
        <w:spacing w:after="0" w:line="276" w:lineRule="auto"/>
        <w:ind w:firstLine="709"/>
        <w:jc w:val="right"/>
        <w:rPr>
          <w:rFonts w:ascii="Times New Roman" w:hAnsi="Times New Roman" w:cs="Times New Roman"/>
          <w:sz w:val="28"/>
          <w:szCs w:val="28"/>
        </w:rPr>
      </w:pPr>
      <w:r w:rsidRPr="002E0A3C">
        <w:rPr>
          <w:rFonts w:ascii="Times New Roman" w:hAnsi="Times New Roman" w:cs="Times New Roman"/>
          <w:i/>
          <w:iCs/>
          <w:sz w:val="28"/>
          <w:szCs w:val="28"/>
        </w:rPr>
        <w:t>K</w:t>
      </w:r>
      <w:r w:rsidRPr="002E0A3C">
        <w:rPr>
          <w:rFonts w:ascii="Times New Roman" w:hAnsi="Times New Roman" w:cs="Times New Roman"/>
          <w:i/>
          <w:iCs/>
          <w:sz w:val="28"/>
          <w:szCs w:val="28"/>
          <w:vertAlign w:val="subscript"/>
        </w:rPr>
        <w:t>Q</w:t>
      </w:r>
      <w:r w:rsidRPr="002E0A3C">
        <w:rPr>
          <w:rFonts w:ascii="Times New Roman" w:hAnsi="Times New Roman" w:cs="Times New Roman"/>
          <w:i/>
          <w:iCs/>
          <w:sz w:val="28"/>
          <w:szCs w:val="28"/>
        </w:rPr>
        <w:t xml:space="preserve"> = </w:t>
      </w:r>
      <w:proofErr w:type="spellStart"/>
      <w:r w:rsidRPr="002E0A3C">
        <w:rPr>
          <w:rFonts w:ascii="Times New Roman" w:hAnsi="Times New Roman" w:cs="Times New Roman"/>
          <w:i/>
          <w:iCs/>
          <w:sz w:val="28"/>
          <w:szCs w:val="28"/>
        </w:rPr>
        <w:t>Q</w:t>
      </w:r>
      <w:r w:rsidRPr="002E0A3C">
        <w:rPr>
          <w:rFonts w:ascii="Times New Roman" w:hAnsi="Times New Roman" w:cs="Times New Roman"/>
          <w:i/>
          <w:iCs/>
          <w:sz w:val="28"/>
          <w:szCs w:val="28"/>
          <w:vertAlign w:val="subscript"/>
        </w:rPr>
        <w:t>f</w:t>
      </w:r>
      <w:proofErr w:type="spellEnd"/>
      <w:r w:rsidRPr="002E0A3C">
        <w:rPr>
          <w:rFonts w:ascii="Times New Roman" w:hAnsi="Times New Roman" w:cs="Times New Roman"/>
          <w:i/>
          <w:iCs/>
          <w:sz w:val="28"/>
          <w:szCs w:val="28"/>
        </w:rPr>
        <w:t xml:space="preserve"> / </w:t>
      </w:r>
      <w:proofErr w:type="spellStart"/>
      <w:r w:rsidRPr="002E0A3C">
        <w:rPr>
          <w:rFonts w:ascii="Times New Roman" w:hAnsi="Times New Roman" w:cs="Times New Roman"/>
          <w:i/>
          <w:iCs/>
          <w:sz w:val="28"/>
          <w:szCs w:val="28"/>
        </w:rPr>
        <w:t>Qn</w:t>
      </w:r>
      <w:proofErr w:type="spellEnd"/>
      <w:r w:rsidRPr="002E0A3C">
        <w:rPr>
          <w:rFonts w:ascii="Times New Roman" w:hAnsi="Times New Roman" w:cs="Times New Roman"/>
          <w:i/>
          <w:iCs/>
          <w:sz w:val="28"/>
          <w:szCs w:val="28"/>
        </w:rPr>
        <w:t xml:space="preserve"> × 100 %</w:t>
      </w:r>
      <w:r w:rsidRPr="002E0A3C">
        <w:rPr>
          <w:rFonts w:ascii="Times New Roman" w:hAnsi="Times New Roman" w:cs="Times New Roman"/>
          <w:sz w:val="28"/>
          <w:szCs w:val="28"/>
        </w:rPr>
        <w:t>,</w:t>
      </w:r>
      <w:r>
        <w:rPr>
          <w:rFonts w:ascii="Times New Roman" w:hAnsi="Times New Roman" w:cs="Times New Roman"/>
          <w:sz w:val="28"/>
          <w:szCs w:val="28"/>
        </w:rPr>
        <w:t xml:space="preserve">                                              (1)</w:t>
      </w:r>
    </w:p>
    <w:p w14:paraId="7B9FBC79"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де </w:t>
      </w:r>
      <w:proofErr w:type="spellStart"/>
      <w:r w:rsidRPr="002E0A3C">
        <w:rPr>
          <w:rFonts w:ascii="Times New Roman" w:hAnsi="Times New Roman" w:cs="Times New Roman"/>
          <w:i/>
          <w:iCs/>
          <w:sz w:val="28"/>
          <w:szCs w:val="28"/>
        </w:rPr>
        <w:t>Q</w:t>
      </w:r>
      <w:r w:rsidRPr="002E0A3C">
        <w:rPr>
          <w:rFonts w:ascii="Times New Roman" w:hAnsi="Times New Roman" w:cs="Times New Roman"/>
          <w:i/>
          <w:iCs/>
          <w:sz w:val="28"/>
          <w:szCs w:val="28"/>
          <w:vertAlign w:val="subscript"/>
        </w:rPr>
        <w:t>f</w:t>
      </w:r>
      <w:proofErr w:type="spellEnd"/>
      <w:r w:rsidRPr="002E0A3C">
        <w:rPr>
          <w:rFonts w:ascii="Times New Roman" w:hAnsi="Times New Roman" w:cs="Times New Roman"/>
          <w:sz w:val="28"/>
          <w:szCs w:val="28"/>
        </w:rPr>
        <w:t xml:space="preserve"> – фактична продуктивність насоса, м³/год; </w:t>
      </w:r>
      <w:proofErr w:type="spellStart"/>
      <w:r w:rsidRPr="002E0A3C">
        <w:rPr>
          <w:rFonts w:ascii="Times New Roman" w:hAnsi="Times New Roman" w:cs="Times New Roman"/>
          <w:i/>
          <w:iCs/>
          <w:sz w:val="28"/>
          <w:szCs w:val="28"/>
        </w:rPr>
        <w:t>Q</w:t>
      </w:r>
      <w:r w:rsidRPr="002E0A3C">
        <w:rPr>
          <w:rFonts w:ascii="Times New Roman" w:hAnsi="Times New Roman" w:cs="Times New Roman"/>
          <w:i/>
          <w:iCs/>
          <w:sz w:val="28"/>
          <w:szCs w:val="28"/>
          <w:vertAlign w:val="subscript"/>
        </w:rPr>
        <w:t>n</w:t>
      </w:r>
      <w:proofErr w:type="spellEnd"/>
      <w:r w:rsidRPr="002E0A3C">
        <w:rPr>
          <w:rFonts w:ascii="Times New Roman" w:hAnsi="Times New Roman" w:cs="Times New Roman"/>
          <w:sz w:val="28"/>
          <w:szCs w:val="28"/>
        </w:rPr>
        <w:t xml:space="preserve"> – номінальна продуктивність нового або технічно справного насоса, м³/год.</w:t>
      </w:r>
    </w:p>
    <w:p w14:paraId="3A0E5E93"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Зниження KQ за незмінних зовнішніх умов роботи може використовуватись як діагностична ознака погіршення технічного стану. Додатковими контрольованими параметрами доцільно прийняти тиск на виході насоса, споживану потужність електродвигуна, частоту обертання, рівень вібрацій, герметичність з'єднань, час спорожнення </w:t>
      </w:r>
      <w:proofErr w:type="spellStart"/>
      <w:r w:rsidRPr="002E0A3C">
        <w:rPr>
          <w:rFonts w:ascii="Times New Roman" w:hAnsi="Times New Roman" w:cs="Times New Roman"/>
          <w:sz w:val="28"/>
          <w:szCs w:val="28"/>
        </w:rPr>
        <w:t>молокоприймача</w:t>
      </w:r>
      <w:proofErr w:type="spellEnd"/>
      <w:r w:rsidRPr="002E0A3C">
        <w:rPr>
          <w:rFonts w:ascii="Times New Roman" w:hAnsi="Times New Roman" w:cs="Times New Roman"/>
          <w:sz w:val="28"/>
          <w:szCs w:val="28"/>
        </w:rPr>
        <w:t xml:space="preserve"> та температуру електродвигуна. Періодичний контроль цих параметрів дозволить виявляти поступове погіршення технічного стану ще до виникнення аварійної відмови.</w:t>
      </w:r>
    </w:p>
    <w:p w14:paraId="544F078A"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Таким чином, технічний стан молочного насоса є важливим чинником формування продуктивності доїльної установки. Зношування робочого колеса, збільшення зазорів, забруднення проточної частини, порушення роботи приводу та системи керування спричиняють зменшення подачі й напору, збільшення питомих енерговитрат та порушення стабільності транспортування молока. Водночас надмірна частота обертання насоса може посилювати механічний вплив на молоко та процеси </w:t>
      </w:r>
      <w:proofErr w:type="spellStart"/>
      <w:r w:rsidRPr="002E0A3C">
        <w:rPr>
          <w:rFonts w:ascii="Times New Roman" w:hAnsi="Times New Roman" w:cs="Times New Roman"/>
          <w:sz w:val="28"/>
          <w:szCs w:val="28"/>
        </w:rPr>
        <w:t>ліполізу</w:t>
      </w:r>
      <w:proofErr w:type="spellEnd"/>
      <w:r w:rsidRPr="002E0A3C">
        <w:rPr>
          <w:rFonts w:ascii="Times New Roman" w:hAnsi="Times New Roman" w:cs="Times New Roman"/>
          <w:sz w:val="28"/>
          <w:szCs w:val="28"/>
        </w:rPr>
        <w:t xml:space="preserve">. Тому перспективним напрямом підвищення ефективності доїльних установок є застосування систем функціонального діагностування молочних насосів за фактичною подачею, енергоспоживанням та </w:t>
      </w:r>
      <w:r w:rsidRPr="002E0A3C">
        <w:rPr>
          <w:rFonts w:ascii="Times New Roman" w:hAnsi="Times New Roman" w:cs="Times New Roman"/>
          <w:sz w:val="28"/>
          <w:szCs w:val="28"/>
        </w:rPr>
        <w:lastRenderedPageBreak/>
        <w:t>параметрами їх технічного стану з можливістю автоматичного регулювання частоти обертання відповідно до поточного потоку молока.</w:t>
      </w:r>
    </w:p>
    <w:p w14:paraId="780924D9" w14:textId="77777777" w:rsidR="002E0A3C" w:rsidRDefault="002E0A3C" w:rsidP="00C31018">
      <w:pPr>
        <w:spacing w:after="0" w:line="276" w:lineRule="auto"/>
        <w:jc w:val="both"/>
        <w:rPr>
          <w:rFonts w:ascii="Times New Roman" w:hAnsi="Times New Roman" w:cs="Times New Roman"/>
          <w:sz w:val="28"/>
          <w:szCs w:val="28"/>
        </w:rPr>
      </w:pPr>
    </w:p>
    <w:p w14:paraId="76E126AD" w14:textId="5261410B" w:rsidR="002E0A3C" w:rsidRPr="002E0A3C" w:rsidRDefault="002E0A3C" w:rsidP="00C31018">
      <w:pPr>
        <w:spacing w:after="0" w:line="276" w:lineRule="auto"/>
        <w:jc w:val="center"/>
        <w:rPr>
          <w:rFonts w:ascii="Times New Roman" w:hAnsi="Times New Roman" w:cs="Times New Roman"/>
          <w:b/>
          <w:bCs/>
          <w:sz w:val="28"/>
          <w:szCs w:val="28"/>
        </w:rPr>
      </w:pPr>
      <w:r w:rsidRPr="002E0A3C">
        <w:rPr>
          <w:rFonts w:ascii="Times New Roman" w:hAnsi="Times New Roman" w:cs="Times New Roman"/>
          <w:b/>
          <w:bCs/>
          <w:sz w:val="28"/>
          <w:szCs w:val="28"/>
        </w:rPr>
        <w:t>Список використаних джерел</w:t>
      </w:r>
    </w:p>
    <w:p w14:paraId="3695AA1E"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1. </w:t>
      </w:r>
      <w:proofErr w:type="spellStart"/>
      <w:r w:rsidRPr="002E0A3C">
        <w:rPr>
          <w:rFonts w:ascii="Times New Roman" w:hAnsi="Times New Roman" w:cs="Times New Roman"/>
          <w:sz w:val="28"/>
          <w:szCs w:val="28"/>
        </w:rPr>
        <w:t>Shakhov</w:t>
      </w:r>
      <w:proofErr w:type="spellEnd"/>
      <w:r w:rsidRPr="002E0A3C">
        <w:rPr>
          <w:rFonts w:ascii="Times New Roman" w:hAnsi="Times New Roman" w:cs="Times New Roman"/>
          <w:sz w:val="28"/>
          <w:szCs w:val="28"/>
        </w:rPr>
        <w:t xml:space="preserve"> V. A., </w:t>
      </w:r>
      <w:proofErr w:type="spellStart"/>
      <w:r w:rsidRPr="002E0A3C">
        <w:rPr>
          <w:rFonts w:ascii="Times New Roman" w:hAnsi="Times New Roman" w:cs="Times New Roman"/>
          <w:sz w:val="28"/>
          <w:szCs w:val="28"/>
        </w:rPr>
        <w:t>Urban</w:t>
      </w:r>
      <w:proofErr w:type="spellEnd"/>
      <w:r w:rsidRPr="002E0A3C">
        <w:rPr>
          <w:rFonts w:ascii="Times New Roman" w:hAnsi="Times New Roman" w:cs="Times New Roman"/>
          <w:sz w:val="28"/>
          <w:szCs w:val="28"/>
        </w:rPr>
        <w:t xml:space="preserve"> V. A., </w:t>
      </w:r>
      <w:proofErr w:type="spellStart"/>
      <w:r w:rsidRPr="002E0A3C">
        <w:rPr>
          <w:rFonts w:ascii="Times New Roman" w:hAnsi="Times New Roman" w:cs="Times New Roman"/>
          <w:sz w:val="28"/>
          <w:szCs w:val="28"/>
        </w:rPr>
        <w:t>Kozlovtsev</w:t>
      </w:r>
      <w:proofErr w:type="spellEnd"/>
      <w:r w:rsidRPr="002E0A3C">
        <w:rPr>
          <w:rFonts w:ascii="Times New Roman" w:hAnsi="Times New Roman" w:cs="Times New Roman"/>
          <w:sz w:val="28"/>
          <w:szCs w:val="28"/>
        </w:rPr>
        <w:t xml:space="preserve"> A. P., </w:t>
      </w:r>
      <w:proofErr w:type="spellStart"/>
      <w:r w:rsidRPr="002E0A3C">
        <w:rPr>
          <w:rFonts w:ascii="Times New Roman" w:hAnsi="Times New Roman" w:cs="Times New Roman"/>
          <w:sz w:val="28"/>
          <w:szCs w:val="28"/>
        </w:rPr>
        <w:t>Urban</w:t>
      </w:r>
      <w:proofErr w:type="spellEnd"/>
      <w:r w:rsidRPr="002E0A3C">
        <w:rPr>
          <w:rFonts w:ascii="Times New Roman" w:hAnsi="Times New Roman" w:cs="Times New Roman"/>
          <w:sz w:val="28"/>
          <w:szCs w:val="28"/>
        </w:rPr>
        <w:t xml:space="preserve"> A. A. </w:t>
      </w:r>
      <w:proofErr w:type="spellStart"/>
      <w:r w:rsidRPr="002E0A3C">
        <w:rPr>
          <w:rFonts w:ascii="Times New Roman" w:hAnsi="Times New Roman" w:cs="Times New Roman"/>
          <w:sz w:val="28"/>
          <w:szCs w:val="28"/>
        </w:rPr>
        <w:t>Peculiarities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pump</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operation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machines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Izvestia</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Orenburg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State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Agrarian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University</w:t>
      </w:r>
      <w:proofErr w:type="spellEnd"/>
      <w:r w:rsidRPr="002E0A3C">
        <w:rPr>
          <w:rFonts w:ascii="Times New Roman" w:hAnsi="Times New Roman" w:cs="Times New Roman"/>
          <w:sz w:val="28"/>
          <w:szCs w:val="28"/>
        </w:rPr>
        <w:t>. 2016. № 4. P. 86–88. URL: https://agris.fao.org/search/en/providers/122613/records/6473aa8013d110e4e7a7c7fc</w:t>
      </w:r>
    </w:p>
    <w:p w14:paraId="26AC10B3"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2. </w:t>
      </w:r>
      <w:proofErr w:type="spellStart"/>
      <w:r w:rsidRPr="002E0A3C">
        <w:rPr>
          <w:rFonts w:ascii="Times New Roman" w:hAnsi="Times New Roman" w:cs="Times New Roman"/>
          <w:sz w:val="28"/>
          <w:szCs w:val="28"/>
        </w:rPr>
        <w:t>DaqiqShirazi</w:t>
      </w:r>
      <w:proofErr w:type="spellEnd"/>
      <w:r w:rsidRPr="002E0A3C">
        <w:rPr>
          <w:rFonts w:ascii="Times New Roman" w:hAnsi="Times New Roman" w:cs="Times New Roman"/>
          <w:sz w:val="28"/>
          <w:szCs w:val="28"/>
        </w:rPr>
        <w:t xml:space="preserve"> M., </w:t>
      </w:r>
      <w:proofErr w:type="spellStart"/>
      <w:r w:rsidRPr="002E0A3C">
        <w:rPr>
          <w:rFonts w:ascii="Times New Roman" w:hAnsi="Times New Roman" w:cs="Times New Roman"/>
          <w:sz w:val="28"/>
          <w:szCs w:val="28"/>
        </w:rPr>
        <w:t>Torabi</w:t>
      </w:r>
      <w:proofErr w:type="spellEnd"/>
      <w:r w:rsidRPr="002E0A3C">
        <w:rPr>
          <w:rFonts w:ascii="Times New Roman" w:hAnsi="Times New Roman" w:cs="Times New Roman"/>
          <w:sz w:val="28"/>
          <w:szCs w:val="28"/>
        </w:rPr>
        <w:t xml:space="preserve"> R., </w:t>
      </w:r>
      <w:proofErr w:type="spellStart"/>
      <w:r w:rsidRPr="002E0A3C">
        <w:rPr>
          <w:rFonts w:ascii="Times New Roman" w:hAnsi="Times New Roman" w:cs="Times New Roman"/>
          <w:sz w:val="28"/>
          <w:szCs w:val="28"/>
        </w:rPr>
        <w:t>Riasi</w:t>
      </w:r>
      <w:proofErr w:type="spellEnd"/>
      <w:r w:rsidRPr="002E0A3C">
        <w:rPr>
          <w:rFonts w:ascii="Times New Roman" w:hAnsi="Times New Roman" w:cs="Times New Roman"/>
          <w:sz w:val="28"/>
          <w:szCs w:val="28"/>
        </w:rPr>
        <w:t xml:space="preserve"> A., </w:t>
      </w:r>
      <w:proofErr w:type="spellStart"/>
      <w:r w:rsidRPr="002E0A3C">
        <w:rPr>
          <w:rFonts w:ascii="Times New Roman" w:hAnsi="Times New Roman" w:cs="Times New Roman"/>
          <w:sz w:val="28"/>
          <w:szCs w:val="28"/>
        </w:rPr>
        <w:t>Nourbakhsh</w:t>
      </w:r>
      <w:proofErr w:type="spellEnd"/>
      <w:r w:rsidRPr="002E0A3C">
        <w:rPr>
          <w:rFonts w:ascii="Times New Roman" w:hAnsi="Times New Roman" w:cs="Times New Roman"/>
          <w:sz w:val="28"/>
          <w:szCs w:val="28"/>
        </w:rPr>
        <w:t xml:space="preserve"> S. A. </w:t>
      </w:r>
      <w:proofErr w:type="spellStart"/>
      <w:r w:rsidRPr="002E0A3C">
        <w:rPr>
          <w:rFonts w:ascii="Times New Roman" w:hAnsi="Times New Roman" w:cs="Times New Roman"/>
          <w:sz w:val="28"/>
          <w:szCs w:val="28"/>
        </w:rPr>
        <w:t>The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effect</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wear</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ring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clearance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flow</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field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the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impeller</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sidewall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gap</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and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efficiency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a </w:t>
      </w:r>
      <w:proofErr w:type="spellStart"/>
      <w:r w:rsidRPr="002E0A3C">
        <w:rPr>
          <w:rFonts w:ascii="Times New Roman" w:hAnsi="Times New Roman" w:cs="Times New Roman"/>
          <w:sz w:val="28"/>
          <w:szCs w:val="28"/>
        </w:rPr>
        <w:t>low</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specific</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speed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centrifugal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pump</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Proceedings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the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Institution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Mechanical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Engineers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Part</w:t>
      </w:r>
      <w:proofErr w:type="spellEnd"/>
      <w:r w:rsidRPr="002E0A3C">
        <w:rPr>
          <w:rFonts w:ascii="Times New Roman" w:hAnsi="Times New Roman" w:cs="Times New Roman"/>
          <w:sz w:val="28"/>
          <w:szCs w:val="28"/>
        </w:rPr>
        <w:t xml:space="preserve"> C: </w:t>
      </w:r>
      <w:proofErr w:type="spellStart"/>
      <w:r w:rsidRPr="002E0A3C">
        <w:rPr>
          <w:rFonts w:ascii="Times New Roman" w:hAnsi="Times New Roman" w:cs="Times New Roman"/>
          <w:sz w:val="28"/>
          <w:szCs w:val="28"/>
        </w:rPr>
        <w:t>Journal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Mechanical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Engineering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Science</w:t>
      </w:r>
      <w:proofErr w:type="spellEnd"/>
      <w:r w:rsidRPr="002E0A3C">
        <w:rPr>
          <w:rFonts w:ascii="Times New Roman" w:hAnsi="Times New Roman" w:cs="Times New Roman"/>
          <w:sz w:val="28"/>
          <w:szCs w:val="28"/>
        </w:rPr>
        <w:t xml:space="preserve">. 2018.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232, № 17. P. 3062–3073. DOI: 10.1177/0954406217729420. URL: https://doi.org/10.1177/0954406217729420</w:t>
      </w:r>
    </w:p>
    <w:p w14:paraId="320967AA"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3. </w:t>
      </w:r>
      <w:proofErr w:type="spellStart"/>
      <w:r w:rsidRPr="002E0A3C">
        <w:rPr>
          <w:rFonts w:ascii="Times New Roman" w:hAnsi="Times New Roman" w:cs="Times New Roman"/>
          <w:sz w:val="28"/>
          <w:szCs w:val="28"/>
        </w:rPr>
        <w:t>Murphy</w:t>
      </w:r>
      <w:proofErr w:type="spellEnd"/>
      <w:r w:rsidRPr="002E0A3C">
        <w:rPr>
          <w:rFonts w:ascii="Times New Roman" w:hAnsi="Times New Roman" w:cs="Times New Roman"/>
          <w:sz w:val="28"/>
          <w:szCs w:val="28"/>
        </w:rPr>
        <w:t xml:space="preserve"> M. D., </w:t>
      </w:r>
      <w:proofErr w:type="spellStart"/>
      <w:r w:rsidRPr="002E0A3C">
        <w:rPr>
          <w:rFonts w:ascii="Times New Roman" w:hAnsi="Times New Roman" w:cs="Times New Roman"/>
          <w:sz w:val="28"/>
          <w:szCs w:val="28"/>
        </w:rPr>
        <w:t>Upton</w:t>
      </w:r>
      <w:proofErr w:type="spellEnd"/>
      <w:r w:rsidRPr="002E0A3C">
        <w:rPr>
          <w:rFonts w:ascii="Times New Roman" w:hAnsi="Times New Roman" w:cs="Times New Roman"/>
          <w:sz w:val="28"/>
          <w:szCs w:val="28"/>
        </w:rPr>
        <w:t xml:space="preserve"> J., </w:t>
      </w:r>
      <w:proofErr w:type="spellStart"/>
      <w:r w:rsidRPr="002E0A3C">
        <w:rPr>
          <w:rFonts w:ascii="Times New Roman" w:hAnsi="Times New Roman" w:cs="Times New Roman"/>
          <w:sz w:val="28"/>
          <w:szCs w:val="28"/>
        </w:rPr>
        <w:t>O’Mahony</w:t>
      </w:r>
      <w:proofErr w:type="spellEnd"/>
      <w:r w:rsidRPr="002E0A3C">
        <w:rPr>
          <w:rFonts w:ascii="Times New Roman" w:hAnsi="Times New Roman" w:cs="Times New Roman"/>
          <w:sz w:val="28"/>
          <w:szCs w:val="28"/>
        </w:rPr>
        <w:t xml:space="preserve"> M. J. </w:t>
      </w:r>
      <w:proofErr w:type="spellStart"/>
      <w:r w:rsidRPr="002E0A3C">
        <w:rPr>
          <w:rFonts w:ascii="Times New Roman" w:hAnsi="Times New Roman" w:cs="Times New Roman"/>
          <w:sz w:val="28"/>
          <w:szCs w:val="28"/>
        </w:rPr>
        <w:t>Rapid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cooling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control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with</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varying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water</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and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energy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consumption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Biosystems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Engineering</w:t>
      </w:r>
      <w:proofErr w:type="spellEnd"/>
      <w:r w:rsidRPr="002E0A3C">
        <w:rPr>
          <w:rFonts w:ascii="Times New Roman" w:hAnsi="Times New Roman" w:cs="Times New Roman"/>
          <w:sz w:val="28"/>
          <w:szCs w:val="28"/>
        </w:rPr>
        <w:t xml:space="preserve">. 2013.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116, № 1. P. 15–22. DOI: 10.1016/j.biosystemseng.2013.05.007. URL: https://doi.org/10.1016/j.biosystemseng.2013.05.007</w:t>
      </w:r>
    </w:p>
    <w:p w14:paraId="2DDAA6EC"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4. </w:t>
      </w:r>
      <w:proofErr w:type="spellStart"/>
      <w:r w:rsidRPr="002E0A3C">
        <w:rPr>
          <w:rFonts w:ascii="Times New Roman" w:hAnsi="Times New Roman" w:cs="Times New Roman"/>
          <w:sz w:val="28"/>
          <w:szCs w:val="28"/>
        </w:rPr>
        <w:t>Reinemann</w:t>
      </w:r>
      <w:proofErr w:type="spellEnd"/>
      <w:r w:rsidRPr="002E0A3C">
        <w:rPr>
          <w:rFonts w:ascii="Times New Roman" w:hAnsi="Times New Roman" w:cs="Times New Roman"/>
          <w:sz w:val="28"/>
          <w:szCs w:val="28"/>
        </w:rPr>
        <w:t xml:space="preserve"> D. J., </w:t>
      </w:r>
      <w:proofErr w:type="spellStart"/>
      <w:r w:rsidRPr="002E0A3C">
        <w:rPr>
          <w:rFonts w:ascii="Times New Roman" w:hAnsi="Times New Roman" w:cs="Times New Roman"/>
          <w:sz w:val="28"/>
          <w:szCs w:val="28"/>
        </w:rPr>
        <w:t>Paulrud</w:t>
      </w:r>
      <w:proofErr w:type="spellEnd"/>
      <w:r w:rsidRPr="002E0A3C">
        <w:rPr>
          <w:rFonts w:ascii="Times New Roman" w:hAnsi="Times New Roman" w:cs="Times New Roman"/>
          <w:sz w:val="28"/>
          <w:szCs w:val="28"/>
        </w:rPr>
        <w:t xml:space="preserve"> C. O., </w:t>
      </w:r>
      <w:proofErr w:type="spellStart"/>
      <w:r w:rsidRPr="002E0A3C">
        <w:rPr>
          <w:rFonts w:ascii="Times New Roman" w:hAnsi="Times New Roman" w:cs="Times New Roman"/>
          <w:sz w:val="28"/>
          <w:szCs w:val="28"/>
        </w:rPr>
        <w:t>ter</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Weele</w:t>
      </w:r>
      <w:proofErr w:type="spellEnd"/>
      <w:r w:rsidRPr="002E0A3C">
        <w:rPr>
          <w:rFonts w:ascii="Times New Roman" w:hAnsi="Times New Roman" w:cs="Times New Roman"/>
          <w:sz w:val="28"/>
          <w:szCs w:val="28"/>
        </w:rPr>
        <w:t xml:space="preserve"> J. </w:t>
      </w:r>
      <w:proofErr w:type="spellStart"/>
      <w:r w:rsidRPr="002E0A3C">
        <w:rPr>
          <w:rFonts w:ascii="Times New Roman" w:hAnsi="Times New Roman" w:cs="Times New Roman"/>
          <w:sz w:val="28"/>
          <w:szCs w:val="28"/>
        </w:rPr>
        <w:t>Effects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flow-responsive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performance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automatic</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installation</w:t>
      </w:r>
      <w:proofErr w:type="spellEnd"/>
      <w:r w:rsidRPr="002E0A3C">
        <w:rPr>
          <w:rFonts w:ascii="Times New Roman" w:hAnsi="Times New Roman" w:cs="Times New Roman"/>
          <w:sz w:val="28"/>
          <w:szCs w:val="28"/>
        </w:rPr>
        <w:t xml:space="preserve">. JDS </w:t>
      </w:r>
      <w:proofErr w:type="spellStart"/>
      <w:r w:rsidRPr="002E0A3C">
        <w:rPr>
          <w:rFonts w:ascii="Times New Roman" w:hAnsi="Times New Roman" w:cs="Times New Roman"/>
          <w:sz w:val="28"/>
          <w:szCs w:val="28"/>
        </w:rPr>
        <w:t>Communications</w:t>
      </w:r>
      <w:proofErr w:type="spellEnd"/>
      <w:r w:rsidRPr="002E0A3C">
        <w:rPr>
          <w:rFonts w:ascii="Times New Roman" w:hAnsi="Times New Roman" w:cs="Times New Roman"/>
          <w:sz w:val="28"/>
          <w:szCs w:val="28"/>
        </w:rPr>
        <w:t xml:space="preserve">. 2025.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6, № 6. P. 773–775. DOI: 10.3168/jdsc.2025-0819. URL: https://doi.org/10.3168/jdsc.2025-0819</w:t>
      </w:r>
    </w:p>
    <w:p w14:paraId="38426E1F"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5. </w:t>
      </w:r>
      <w:proofErr w:type="spellStart"/>
      <w:r w:rsidRPr="002E0A3C">
        <w:rPr>
          <w:rFonts w:ascii="Times New Roman" w:hAnsi="Times New Roman" w:cs="Times New Roman"/>
          <w:sz w:val="28"/>
          <w:szCs w:val="28"/>
        </w:rPr>
        <w:t>Rønningen</w:t>
      </w:r>
      <w:proofErr w:type="spellEnd"/>
      <w:r w:rsidRPr="002E0A3C">
        <w:rPr>
          <w:rFonts w:ascii="Times New Roman" w:hAnsi="Times New Roman" w:cs="Times New Roman"/>
          <w:sz w:val="28"/>
          <w:szCs w:val="28"/>
        </w:rPr>
        <w:t xml:space="preserve"> O. </w:t>
      </w:r>
      <w:proofErr w:type="spellStart"/>
      <w:r w:rsidRPr="002E0A3C">
        <w:rPr>
          <w:rFonts w:ascii="Times New Roman" w:hAnsi="Times New Roman" w:cs="Times New Roman"/>
          <w:sz w:val="28"/>
          <w:szCs w:val="28"/>
        </w:rPr>
        <w:t>Milkline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vacuum</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stability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machine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installations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Journal</w:t>
      </w:r>
      <w:proofErr w:type="spellEnd"/>
      <w:r w:rsidRPr="002E0A3C">
        <w:rPr>
          <w:rFonts w:ascii="Times New Roman" w:hAnsi="Times New Roman" w:cs="Times New Roman"/>
          <w:sz w:val="28"/>
          <w:szCs w:val="28"/>
        </w:rPr>
        <w:t xml:space="preserve"> of </w:t>
      </w:r>
      <w:proofErr w:type="spellStart"/>
      <w:r w:rsidRPr="002E0A3C">
        <w:rPr>
          <w:rFonts w:ascii="Times New Roman" w:hAnsi="Times New Roman" w:cs="Times New Roman"/>
          <w:sz w:val="28"/>
          <w:szCs w:val="28"/>
        </w:rPr>
        <w:t>Dairy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Research</w:t>
      </w:r>
      <w:proofErr w:type="spellEnd"/>
      <w:r w:rsidRPr="002E0A3C">
        <w:rPr>
          <w:rFonts w:ascii="Times New Roman" w:hAnsi="Times New Roman" w:cs="Times New Roman"/>
          <w:sz w:val="28"/>
          <w:szCs w:val="28"/>
        </w:rPr>
        <w:t xml:space="preserve">. 2002.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69, № 4. P. 501–509. DOI: 10.1017/S0022029902005812. URL: https://doi.org/10.1017/S0022029902005812</w:t>
      </w:r>
    </w:p>
    <w:p w14:paraId="6787728D"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6. </w:t>
      </w:r>
      <w:proofErr w:type="spellStart"/>
      <w:r w:rsidRPr="002E0A3C">
        <w:rPr>
          <w:rFonts w:ascii="Times New Roman" w:hAnsi="Times New Roman" w:cs="Times New Roman"/>
          <w:sz w:val="28"/>
          <w:szCs w:val="28"/>
        </w:rPr>
        <w:t>Escobar</w:t>
      </w:r>
      <w:proofErr w:type="spellEnd"/>
      <w:r w:rsidRPr="002E0A3C">
        <w:rPr>
          <w:rFonts w:ascii="Times New Roman" w:hAnsi="Times New Roman" w:cs="Times New Roman"/>
          <w:sz w:val="28"/>
          <w:szCs w:val="28"/>
        </w:rPr>
        <w:t xml:space="preserve"> G. J., </w:t>
      </w:r>
      <w:proofErr w:type="spellStart"/>
      <w:r w:rsidRPr="002E0A3C">
        <w:rPr>
          <w:rFonts w:ascii="Times New Roman" w:hAnsi="Times New Roman" w:cs="Times New Roman"/>
          <w:sz w:val="28"/>
          <w:szCs w:val="28"/>
        </w:rPr>
        <w:t>Bradley</w:t>
      </w:r>
      <w:proofErr w:type="spellEnd"/>
      <w:r w:rsidRPr="002E0A3C">
        <w:rPr>
          <w:rFonts w:ascii="Times New Roman" w:hAnsi="Times New Roman" w:cs="Times New Roman"/>
          <w:sz w:val="28"/>
          <w:szCs w:val="28"/>
        </w:rPr>
        <w:t xml:space="preserve"> R. L. </w:t>
      </w:r>
      <w:proofErr w:type="spellStart"/>
      <w:r w:rsidRPr="002E0A3C">
        <w:rPr>
          <w:rFonts w:ascii="Times New Roman" w:hAnsi="Times New Roman" w:cs="Times New Roman"/>
          <w:sz w:val="28"/>
          <w:szCs w:val="28"/>
        </w:rPr>
        <w:t>Effect</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mechanical</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treatment</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the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free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fatty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acid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content</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of</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raw</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Journal</w:t>
      </w:r>
      <w:proofErr w:type="spellEnd"/>
      <w:r w:rsidRPr="002E0A3C">
        <w:rPr>
          <w:rFonts w:ascii="Times New Roman" w:hAnsi="Times New Roman" w:cs="Times New Roman"/>
          <w:sz w:val="28"/>
          <w:szCs w:val="28"/>
        </w:rPr>
        <w:t xml:space="preserve"> of </w:t>
      </w:r>
      <w:proofErr w:type="spellStart"/>
      <w:r w:rsidRPr="002E0A3C">
        <w:rPr>
          <w:rFonts w:ascii="Times New Roman" w:hAnsi="Times New Roman" w:cs="Times New Roman"/>
          <w:sz w:val="28"/>
          <w:szCs w:val="28"/>
        </w:rPr>
        <w:t>Dairy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Science</w:t>
      </w:r>
      <w:proofErr w:type="spellEnd"/>
      <w:r w:rsidRPr="002E0A3C">
        <w:rPr>
          <w:rFonts w:ascii="Times New Roman" w:hAnsi="Times New Roman" w:cs="Times New Roman"/>
          <w:sz w:val="28"/>
          <w:szCs w:val="28"/>
        </w:rPr>
        <w:t xml:space="preserve">. 1990.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73, № 8. P. 2054–2060. DOI: 10.3168/jds.S0022-0302(90)78884-4. URL: https://doi.org/10.3168/jds.S0022-0302(90)78884-4</w:t>
      </w:r>
    </w:p>
    <w:p w14:paraId="52427C83" w14:textId="77777777" w:rsidR="002E0A3C" w:rsidRPr="002E0A3C"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7. </w:t>
      </w:r>
      <w:proofErr w:type="spellStart"/>
      <w:r w:rsidRPr="002E0A3C">
        <w:rPr>
          <w:rFonts w:ascii="Times New Roman" w:hAnsi="Times New Roman" w:cs="Times New Roman"/>
          <w:sz w:val="28"/>
          <w:szCs w:val="28"/>
        </w:rPr>
        <w:t>Woodhouse</w:t>
      </w:r>
      <w:proofErr w:type="spellEnd"/>
      <w:r w:rsidRPr="002E0A3C">
        <w:rPr>
          <w:rFonts w:ascii="Times New Roman" w:hAnsi="Times New Roman" w:cs="Times New Roman"/>
          <w:sz w:val="28"/>
          <w:szCs w:val="28"/>
        </w:rPr>
        <w:t xml:space="preserve"> H. M., </w:t>
      </w:r>
      <w:proofErr w:type="spellStart"/>
      <w:r w:rsidRPr="002E0A3C">
        <w:rPr>
          <w:rFonts w:ascii="Times New Roman" w:hAnsi="Times New Roman" w:cs="Times New Roman"/>
          <w:sz w:val="28"/>
          <w:szCs w:val="28"/>
        </w:rPr>
        <w:t>LeBlanc</w:t>
      </w:r>
      <w:proofErr w:type="spellEnd"/>
      <w:r w:rsidRPr="002E0A3C">
        <w:rPr>
          <w:rFonts w:ascii="Times New Roman" w:hAnsi="Times New Roman" w:cs="Times New Roman"/>
          <w:sz w:val="28"/>
          <w:szCs w:val="28"/>
        </w:rPr>
        <w:t xml:space="preserve"> S. J., </w:t>
      </w:r>
      <w:proofErr w:type="spellStart"/>
      <w:r w:rsidRPr="002E0A3C">
        <w:rPr>
          <w:rFonts w:ascii="Times New Roman" w:hAnsi="Times New Roman" w:cs="Times New Roman"/>
          <w:sz w:val="28"/>
          <w:szCs w:val="28"/>
        </w:rPr>
        <w:t>DeVries</w:t>
      </w:r>
      <w:proofErr w:type="spellEnd"/>
      <w:r w:rsidRPr="002E0A3C">
        <w:rPr>
          <w:rFonts w:ascii="Times New Roman" w:hAnsi="Times New Roman" w:cs="Times New Roman"/>
          <w:sz w:val="28"/>
          <w:szCs w:val="28"/>
        </w:rPr>
        <w:t xml:space="preserve"> T. J., </w:t>
      </w:r>
      <w:proofErr w:type="spellStart"/>
      <w:r w:rsidRPr="002E0A3C">
        <w:rPr>
          <w:rFonts w:ascii="Times New Roman" w:hAnsi="Times New Roman" w:cs="Times New Roman"/>
          <w:sz w:val="28"/>
          <w:szCs w:val="28"/>
        </w:rPr>
        <w:t>Hand</w:t>
      </w:r>
      <w:proofErr w:type="spellEnd"/>
      <w:r w:rsidRPr="002E0A3C">
        <w:rPr>
          <w:rFonts w:ascii="Times New Roman" w:hAnsi="Times New Roman" w:cs="Times New Roman"/>
          <w:sz w:val="28"/>
          <w:szCs w:val="28"/>
        </w:rPr>
        <w:t xml:space="preserve"> K. J., </w:t>
      </w:r>
      <w:proofErr w:type="spellStart"/>
      <w:r w:rsidRPr="002E0A3C">
        <w:rPr>
          <w:rFonts w:ascii="Times New Roman" w:hAnsi="Times New Roman" w:cs="Times New Roman"/>
          <w:sz w:val="28"/>
          <w:szCs w:val="28"/>
        </w:rPr>
        <w:t>Kelton</w:t>
      </w:r>
      <w:proofErr w:type="spellEnd"/>
      <w:r w:rsidRPr="002E0A3C">
        <w:rPr>
          <w:rFonts w:ascii="Times New Roman" w:hAnsi="Times New Roman" w:cs="Times New Roman"/>
          <w:sz w:val="28"/>
          <w:szCs w:val="28"/>
        </w:rPr>
        <w:t xml:space="preserve"> D. F. </w:t>
      </w:r>
      <w:proofErr w:type="spellStart"/>
      <w:r w:rsidRPr="002E0A3C">
        <w:rPr>
          <w:rFonts w:ascii="Times New Roman" w:hAnsi="Times New Roman" w:cs="Times New Roman"/>
          <w:sz w:val="28"/>
          <w:szCs w:val="28"/>
        </w:rPr>
        <w:t>Association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between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pump</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type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and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free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fatty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acid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concentrations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dairy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farms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with</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automated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milking</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systems</w:t>
      </w:r>
      <w:proofErr w:type="spellEnd"/>
      <w:r w:rsidRPr="002E0A3C">
        <w:rPr>
          <w:rFonts w:ascii="Times New Roman" w:hAnsi="Times New Roman" w:cs="Times New Roman"/>
          <w:sz w:val="28"/>
          <w:szCs w:val="28"/>
        </w:rPr>
        <w:t xml:space="preserve">. JDS </w:t>
      </w:r>
      <w:proofErr w:type="spellStart"/>
      <w:r w:rsidRPr="002E0A3C">
        <w:rPr>
          <w:rFonts w:ascii="Times New Roman" w:hAnsi="Times New Roman" w:cs="Times New Roman"/>
          <w:sz w:val="28"/>
          <w:szCs w:val="28"/>
        </w:rPr>
        <w:t>Communications</w:t>
      </w:r>
      <w:proofErr w:type="spellEnd"/>
      <w:r w:rsidRPr="002E0A3C">
        <w:rPr>
          <w:rFonts w:ascii="Times New Roman" w:hAnsi="Times New Roman" w:cs="Times New Roman"/>
          <w:sz w:val="28"/>
          <w:szCs w:val="28"/>
        </w:rPr>
        <w:t xml:space="preserve">. 2025.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6, № 3. P. 309–312. DOI: 10.3168/jdsc.2024-0666. URL: https://doi.org/10.3168/jdsc.2024-0666</w:t>
      </w:r>
    </w:p>
    <w:p w14:paraId="11D33791" w14:textId="5BAFA001" w:rsidR="000E6225" w:rsidRDefault="002E0A3C" w:rsidP="00C31018">
      <w:pPr>
        <w:spacing w:after="0" w:line="276" w:lineRule="auto"/>
        <w:ind w:firstLine="709"/>
        <w:jc w:val="both"/>
        <w:rPr>
          <w:rFonts w:ascii="Times New Roman" w:hAnsi="Times New Roman" w:cs="Times New Roman"/>
          <w:sz w:val="28"/>
          <w:szCs w:val="28"/>
        </w:rPr>
      </w:pPr>
      <w:r w:rsidRPr="002E0A3C">
        <w:rPr>
          <w:rFonts w:ascii="Times New Roman" w:hAnsi="Times New Roman" w:cs="Times New Roman"/>
          <w:sz w:val="28"/>
          <w:szCs w:val="28"/>
        </w:rPr>
        <w:t xml:space="preserve">8. </w:t>
      </w:r>
      <w:proofErr w:type="spellStart"/>
      <w:r w:rsidRPr="002E0A3C">
        <w:rPr>
          <w:rFonts w:ascii="Times New Roman" w:hAnsi="Times New Roman" w:cs="Times New Roman"/>
          <w:sz w:val="28"/>
          <w:szCs w:val="28"/>
        </w:rPr>
        <w:t>Upton</w:t>
      </w:r>
      <w:proofErr w:type="spellEnd"/>
      <w:r w:rsidRPr="002E0A3C">
        <w:rPr>
          <w:rFonts w:ascii="Times New Roman" w:hAnsi="Times New Roman" w:cs="Times New Roman"/>
          <w:sz w:val="28"/>
          <w:szCs w:val="28"/>
        </w:rPr>
        <w:t xml:space="preserve"> J., </w:t>
      </w:r>
      <w:proofErr w:type="spellStart"/>
      <w:r w:rsidRPr="002E0A3C">
        <w:rPr>
          <w:rFonts w:ascii="Times New Roman" w:hAnsi="Times New Roman" w:cs="Times New Roman"/>
          <w:sz w:val="28"/>
          <w:szCs w:val="28"/>
        </w:rPr>
        <w:t>Humphreys</w:t>
      </w:r>
      <w:proofErr w:type="spellEnd"/>
      <w:r w:rsidRPr="002E0A3C">
        <w:rPr>
          <w:rFonts w:ascii="Times New Roman" w:hAnsi="Times New Roman" w:cs="Times New Roman"/>
          <w:sz w:val="28"/>
          <w:szCs w:val="28"/>
        </w:rPr>
        <w:t xml:space="preserve"> J., </w:t>
      </w:r>
      <w:proofErr w:type="spellStart"/>
      <w:r w:rsidRPr="002E0A3C">
        <w:rPr>
          <w:rFonts w:ascii="Times New Roman" w:hAnsi="Times New Roman" w:cs="Times New Roman"/>
          <w:sz w:val="28"/>
          <w:szCs w:val="28"/>
        </w:rPr>
        <w:t>Groot</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Koerkamp</w:t>
      </w:r>
      <w:proofErr w:type="spellEnd"/>
      <w:r w:rsidRPr="002E0A3C">
        <w:rPr>
          <w:rFonts w:ascii="Times New Roman" w:hAnsi="Times New Roman" w:cs="Times New Roman"/>
          <w:sz w:val="28"/>
          <w:szCs w:val="28"/>
        </w:rPr>
        <w:t xml:space="preserve"> P. W. G., </w:t>
      </w:r>
      <w:proofErr w:type="spellStart"/>
      <w:r w:rsidRPr="002E0A3C">
        <w:rPr>
          <w:rFonts w:ascii="Times New Roman" w:hAnsi="Times New Roman" w:cs="Times New Roman"/>
          <w:sz w:val="28"/>
          <w:szCs w:val="28"/>
        </w:rPr>
        <w:t>French</w:t>
      </w:r>
      <w:proofErr w:type="spellEnd"/>
      <w:r w:rsidRPr="002E0A3C">
        <w:rPr>
          <w:rFonts w:ascii="Times New Roman" w:hAnsi="Times New Roman" w:cs="Times New Roman"/>
          <w:sz w:val="28"/>
          <w:szCs w:val="28"/>
        </w:rPr>
        <w:t xml:space="preserve"> P., </w:t>
      </w:r>
      <w:proofErr w:type="spellStart"/>
      <w:r w:rsidRPr="002E0A3C">
        <w:rPr>
          <w:rFonts w:ascii="Times New Roman" w:hAnsi="Times New Roman" w:cs="Times New Roman"/>
          <w:sz w:val="28"/>
          <w:szCs w:val="28"/>
        </w:rPr>
        <w:t>Dillon</w:t>
      </w:r>
      <w:proofErr w:type="spellEnd"/>
      <w:r w:rsidRPr="002E0A3C">
        <w:rPr>
          <w:rFonts w:ascii="Times New Roman" w:hAnsi="Times New Roman" w:cs="Times New Roman"/>
          <w:sz w:val="28"/>
          <w:szCs w:val="28"/>
        </w:rPr>
        <w:t xml:space="preserve"> P., </w:t>
      </w:r>
      <w:proofErr w:type="spellStart"/>
      <w:r w:rsidRPr="002E0A3C">
        <w:rPr>
          <w:rFonts w:ascii="Times New Roman" w:hAnsi="Times New Roman" w:cs="Times New Roman"/>
          <w:sz w:val="28"/>
          <w:szCs w:val="28"/>
        </w:rPr>
        <w:t>De</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Boer</w:t>
      </w:r>
      <w:proofErr w:type="spellEnd"/>
      <w:r w:rsidRPr="002E0A3C">
        <w:rPr>
          <w:rFonts w:ascii="Times New Roman" w:hAnsi="Times New Roman" w:cs="Times New Roman"/>
          <w:sz w:val="28"/>
          <w:szCs w:val="28"/>
        </w:rPr>
        <w:t xml:space="preserve"> I. J. M. </w:t>
      </w:r>
      <w:proofErr w:type="spellStart"/>
      <w:r w:rsidRPr="002E0A3C">
        <w:rPr>
          <w:rFonts w:ascii="Times New Roman" w:hAnsi="Times New Roman" w:cs="Times New Roman"/>
          <w:sz w:val="28"/>
          <w:szCs w:val="28"/>
        </w:rPr>
        <w:t>Energy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demand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on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dairy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farms</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in</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Ireland</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Journal</w:t>
      </w:r>
      <w:proofErr w:type="spellEnd"/>
      <w:r w:rsidRPr="002E0A3C">
        <w:rPr>
          <w:rFonts w:ascii="Times New Roman" w:hAnsi="Times New Roman" w:cs="Times New Roman"/>
          <w:sz w:val="28"/>
          <w:szCs w:val="28"/>
        </w:rPr>
        <w:t xml:space="preserve"> of </w:t>
      </w:r>
      <w:proofErr w:type="spellStart"/>
      <w:r w:rsidRPr="002E0A3C">
        <w:rPr>
          <w:rFonts w:ascii="Times New Roman" w:hAnsi="Times New Roman" w:cs="Times New Roman"/>
          <w:sz w:val="28"/>
          <w:szCs w:val="28"/>
        </w:rPr>
        <w:t>Dairy</w:t>
      </w:r>
      <w:proofErr w:type="spellEnd"/>
      <w:r w:rsidRPr="002E0A3C">
        <w:rPr>
          <w:rFonts w:ascii="Times New Roman" w:hAnsi="Times New Roman" w:cs="Times New Roman"/>
          <w:sz w:val="28"/>
          <w:szCs w:val="28"/>
        </w:rPr>
        <w:t xml:space="preserve"> </w:t>
      </w:r>
      <w:proofErr w:type="spellStart"/>
      <w:r w:rsidRPr="002E0A3C">
        <w:rPr>
          <w:rFonts w:ascii="Times New Roman" w:hAnsi="Times New Roman" w:cs="Times New Roman"/>
          <w:sz w:val="28"/>
          <w:szCs w:val="28"/>
        </w:rPr>
        <w:t>Science</w:t>
      </w:r>
      <w:proofErr w:type="spellEnd"/>
      <w:r w:rsidRPr="002E0A3C">
        <w:rPr>
          <w:rFonts w:ascii="Times New Roman" w:hAnsi="Times New Roman" w:cs="Times New Roman"/>
          <w:sz w:val="28"/>
          <w:szCs w:val="28"/>
        </w:rPr>
        <w:t xml:space="preserve">. 2013. </w:t>
      </w:r>
      <w:proofErr w:type="spellStart"/>
      <w:r w:rsidRPr="002E0A3C">
        <w:rPr>
          <w:rFonts w:ascii="Times New Roman" w:hAnsi="Times New Roman" w:cs="Times New Roman"/>
          <w:sz w:val="28"/>
          <w:szCs w:val="28"/>
        </w:rPr>
        <w:t>Vol</w:t>
      </w:r>
      <w:proofErr w:type="spellEnd"/>
      <w:r w:rsidRPr="002E0A3C">
        <w:rPr>
          <w:rFonts w:ascii="Times New Roman" w:hAnsi="Times New Roman" w:cs="Times New Roman"/>
          <w:sz w:val="28"/>
          <w:szCs w:val="28"/>
        </w:rPr>
        <w:t>. 96, № 10. P. 6489–6498. DOI: 10.3168/jds.2013-6874. URL: https://doi.org/10.3168/jds.2013-6874</w:t>
      </w:r>
    </w:p>
    <w:p w14:paraId="41EFF8AB" w14:textId="77777777" w:rsidR="0042298E" w:rsidRDefault="0042298E" w:rsidP="00C31018">
      <w:pPr>
        <w:spacing w:after="0" w:line="276" w:lineRule="auto"/>
      </w:pPr>
    </w:p>
    <w:sectPr w:rsidR="0042298E" w:rsidSect="00481B5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D9"/>
    <w:rsid w:val="000E6225"/>
    <w:rsid w:val="002325D9"/>
    <w:rsid w:val="002E0A3C"/>
    <w:rsid w:val="00414AE7"/>
    <w:rsid w:val="0042298E"/>
    <w:rsid w:val="00481B53"/>
    <w:rsid w:val="00595CB8"/>
    <w:rsid w:val="006B1D7E"/>
    <w:rsid w:val="00834628"/>
    <w:rsid w:val="0084226A"/>
    <w:rsid w:val="00B82504"/>
    <w:rsid w:val="00C17178"/>
    <w:rsid w:val="00C31018"/>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47C4"/>
  <w15:chartTrackingRefBased/>
  <w15:docId w15:val="{636799B2-764C-4E0C-AB83-A01D4842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1B53"/>
  </w:style>
  <w:style w:type="paragraph" w:styleId="1">
    <w:name w:val="heading 1"/>
    <w:basedOn w:val="a"/>
    <w:next w:val="a"/>
    <w:link w:val="10"/>
    <w:uiPriority w:val="9"/>
    <w:qFormat/>
    <w:rsid w:val="00232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32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325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325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325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325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25D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25D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25D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25D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325D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325D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325D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325D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325D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25D9"/>
    <w:rPr>
      <w:rFonts w:eastAsiaTheme="majorEastAsia" w:cstheme="majorBidi"/>
      <w:color w:val="595959" w:themeColor="text1" w:themeTint="A6"/>
    </w:rPr>
  </w:style>
  <w:style w:type="character" w:customStyle="1" w:styleId="80">
    <w:name w:val="Заголовок 8 Знак"/>
    <w:basedOn w:val="a0"/>
    <w:link w:val="8"/>
    <w:uiPriority w:val="9"/>
    <w:semiHidden/>
    <w:rsid w:val="002325D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25D9"/>
    <w:rPr>
      <w:rFonts w:eastAsiaTheme="majorEastAsia" w:cstheme="majorBidi"/>
      <w:color w:val="272727" w:themeColor="text1" w:themeTint="D8"/>
    </w:rPr>
  </w:style>
  <w:style w:type="paragraph" w:styleId="a3">
    <w:name w:val="Title"/>
    <w:basedOn w:val="a"/>
    <w:next w:val="a"/>
    <w:link w:val="a4"/>
    <w:uiPriority w:val="10"/>
    <w:qFormat/>
    <w:rsid w:val="00232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325D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25D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325D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325D9"/>
    <w:pPr>
      <w:spacing w:before="160"/>
      <w:jc w:val="center"/>
    </w:pPr>
    <w:rPr>
      <w:i/>
      <w:iCs/>
      <w:color w:val="404040" w:themeColor="text1" w:themeTint="BF"/>
    </w:rPr>
  </w:style>
  <w:style w:type="character" w:customStyle="1" w:styleId="a8">
    <w:name w:val="Цитата Знак"/>
    <w:basedOn w:val="a0"/>
    <w:link w:val="a7"/>
    <w:uiPriority w:val="29"/>
    <w:rsid w:val="002325D9"/>
    <w:rPr>
      <w:i/>
      <w:iCs/>
      <w:color w:val="404040" w:themeColor="text1" w:themeTint="BF"/>
    </w:rPr>
  </w:style>
  <w:style w:type="paragraph" w:styleId="a9">
    <w:name w:val="List Paragraph"/>
    <w:basedOn w:val="a"/>
    <w:uiPriority w:val="34"/>
    <w:qFormat/>
    <w:rsid w:val="002325D9"/>
    <w:pPr>
      <w:ind w:left="720"/>
      <w:contextualSpacing/>
    </w:pPr>
  </w:style>
  <w:style w:type="character" w:styleId="aa">
    <w:name w:val="Intense Emphasis"/>
    <w:basedOn w:val="a0"/>
    <w:uiPriority w:val="21"/>
    <w:qFormat/>
    <w:rsid w:val="002325D9"/>
    <w:rPr>
      <w:i/>
      <w:iCs/>
      <w:color w:val="0F4761" w:themeColor="accent1" w:themeShade="BF"/>
    </w:rPr>
  </w:style>
  <w:style w:type="paragraph" w:styleId="ab">
    <w:name w:val="Intense Quote"/>
    <w:basedOn w:val="a"/>
    <w:next w:val="a"/>
    <w:link w:val="ac"/>
    <w:uiPriority w:val="30"/>
    <w:qFormat/>
    <w:rsid w:val="00232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325D9"/>
    <w:rPr>
      <w:i/>
      <w:iCs/>
      <w:color w:val="0F4761" w:themeColor="accent1" w:themeShade="BF"/>
    </w:rPr>
  </w:style>
  <w:style w:type="character" w:styleId="ad">
    <w:name w:val="Intense Reference"/>
    <w:basedOn w:val="a0"/>
    <w:uiPriority w:val="32"/>
    <w:qFormat/>
    <w:rsid w:val="002325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6431</Words>
  <Characters>3667</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2026-10-05T14:33:00Z</dcterms:created>
  <dcterms:modified xsi:type="dcterms:W3CDTF">2026-10-05T14:33:00Z</dcterms:modified>
</cp:coreProperties>
</file>