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8726" w14:textId="5727B854" w:rsidR="00433C3F" w:rsidRPr="000E1174" w:rsidRDefault="00433C3F" w:rsidP="00540A82">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314709" w:rsidRPr="00314709">
        <w:rPr>
          <w:rFonts w:ascii="Times New Roman" w:hAnsi="Times New Roman" w:cs="Times New Roman"/>
          <w:sz w:val="28"/>
          <w:szCs w:val="28"/>
        </w:rPr>
        <w:t>631.372</w:t>
      </w:r>
    </w:p>
    <w:p w14:paraId="380095E5" w14:textId="77777777" w:rsidR="00433C3F" w:rsidRPr="000E1174" w:rsidRDefault="00433C3F" w:rsidP="00540A82">
      <w:pPr>
        <w:spacing w:after="0" w:line="276" w:lineRule="auto"/>
        <w:rPr>
          <w:rFonts w:ascii="Times New Roman" w:hAnsi="Times New Roman" w:cs="Times New Roman"/>
          <w:sz w:val="28"/>
          <w:szCs w:val="28"/>
        </w:rPr>
      </w:pPr>
    </w:p>
    <w:p w14:paraId="0CDD8285" w14:textId="2A487310" w:rsidR="00433C3F" w:rsidRDefault="00314709" w:rsidP="00540A82">
      <w:pPr>
        <w:spacing w:after="0" w:line="276" w:lineRule="auto"/>
        <w:jc w:val="center"/>
        <w:rPr>
          <w:rFonts w:ascii="Times New Roman" w:hAnsi="Times New Roman" w:cs="Times New Roman"/>
          <w:b/>
          <w:bCs/>
          <w:sz w:val="28"/>
          <w:szCs w:val="28"/>
        </w:rPr>
      </w:pPr>
      <w:r w:rsidRPr="00314709">
        <w:rPr>
          <w:rFonts w:ascii="Times New Roman" w:hAnsi="Times New Roman" w:cs="Times New Roman"/>
          <w:b/>
          <w:bCs/>
          <w:sz w:val="28"/>
          <w:szCs w:val="28"/>
        </w:rPr>
        <w:t>ПЕРСПЕКТИВИ ВИКОРИСТАННЯ ГУМОВИХ ГУСЕНИЧНИХ МОДУЛІВ НА ТРАКТОРАХ КЛАСУ 1,4</w:t>
      </w:r>
    </w:p>
    <w:p w14:paraId="2C88CC3C" w14:textId="77777777" w:rsidR="00314709" w:rsidRDefault="00314709" w:rsidP="00540A82">
      <w:pPr>
        <w:spacing w:after="0" w:line="276" w:lineRule="auto"/>
        <w:jc w:val="center"/>
        <w:rPr>
          <w:rFonts w:ascii="Times New Roman" w:hAnsi="Times New Roman" w:cs="Times New Roman"/>
          <w:sz w:val="28"/>
          <w:szCs w:val="28"/>
        </w:rPr>
      </w:pPr>
    </w:p>
    <w:p w14:paraId="28E4F2CC" w14:textId="4DF47728" w:rsidR="00433C3F" w:rsidRDefault="00433C3F" w:rsidP="00540A82">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Дерев’янко Д.А.</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proofErr w:type="spellStart"/>
      <w:r>
        <w:rPr>
          <w:rFonts w:ascii="Times New Roman" w:hAnsi="Times New Roman" w:cs="Times New Roman"/>
          <w:b/>
          <w:bCs/>
          <w:sz w:val="28"/>
          <w:szCs w:val="28"/>
        </w:rPr>
        <w:t>Вазінський</w:t>
      </w:r>
      <w:proofErr w:type="spellEnd"/>
      <w:r>
        <w:rPr>
          <w:rFonts w:ascii="Times New Roman" w:hAnsi="Times New Roman" w:cs="Times New Roman"/>
          <w:b/>
          <w:bCs/>
          <w:sz w:val="28"/>
          <w:szCs w:val="28"/>
        </w:rPr>
        <w:t xml:space="preserve"> В.І. </w:t>
      </w:r>
      <w:r>
        <w:rPr>
          <w:rFonts w:ascii="Times New Roman" w:hAnsi="Times New Roman" w:cs="Times New Roman"/>
          <w:sz w:val="28"/>
          <w:szCs w:val="28"/>
        </w:rPr>
        <w:t>здобувач освіти</w:t>
      </w:r>
    </w:p>
    <w:p w14:paraId="724344B6" w14:textId="77777777" w:rsidR="00433C3F" w:rsidRPr="00540A82" w:rsidRDefault="00433C3F" w:rsidP="00540A82">
      <w:pPr>
        <w:spacing w:after="0" w:line="276" w:lineRule="auto"/>
        <w:jc w:val="center"/>
        <w:rPr>
          <w:rFonts w:ascii="Times New Roman" w:hAnsi="Times New Roman" w:cs="Times New Roman"/>
          <w:i/>
          <w:iCs/>
          <w:sz w:val="28"/>
          <w:szCs w:val="28"/>
        </w:rPr>
      </w:pPr>
      <w:r w:rsidRPr="00540A82">
        <w:rPr>
          <w:rFonts w:ascii="Times New Roman" w:hAnsi="Times New Roman" w:cs="Times New Roman"/>
          <w:i/>
          <w:iCs/>
          <w:sz w:val="28"/>
          <w:szCs w:val="28"/>
        </w:rPr>
        <w:t>Поліський національний університет, м. Житомир</w:t>
      </w:r>
    </w:p>
    <w:p w14:paraId="56EC0973" w14:textId="77777777" w:rsidR="00314709" w:rsidRDefault="00314709" w:rsidP="00540A82">
      <w:pPr>
        <w:spacing w:after="0" w:line="276" w:lineRule="auto"/>
        <w:jc w:val="center"/>
        <w:rPr>
          <w:rFonts w:ascii="Times New Roman" w:hAnsi="Times New Roman" w:cs="Times New Roman"/>
          <w:sz w:val="28"/>
          <w:szCs w:val="28"/>
        </w:rPr>
      </w:pPr>
    </w:p>
    <w:p w14:paraId="61AB04B9"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Підвищення ефективності використання тракторної техніки є одним із важливих напрямів удосконалення механізованих технологій сільськогосподарського виробництва. Особливо актуальним є забезпечення високих тягово-зчіпних властивостей тракторів за одночасного зменшення їх негативного впливу на ґрунт. Трактори тягового класу 1,4, номінальне тягове зусилля яких становить близько 14 </w:t>
      </w:r>
      <w:proofErr w:type="spellStart"/>
      <w:r w:rsidRPr="00614B35">
        <w:rPr>
          <w:rFonts w:ascii="Times New Roman" w:hAnsi="Times New Roman" w:cs="Times New Roman"/>
          <w:sz w:val="28"/>
          <w:szCs w:val="28"/>
        </w:rPr>
        <w:t>кН</w:t>
      </w:r>
      <w:proofErr w:type="spellEnd"/>
      <w:r w:rsidRPr="00614B35">
        <w:rPr>
          <w:rFonts w:ascii="Times New Roman" w:hAnsi="Times New Roman" w:cs="Times New Roman"/>
          <w:sz w:val="28"/>
          <w:szCs w:val="28"/>
        </w:rPr>
        <w:t xml:space="preserve">, широко використовуються для виконання значного комплексу польових, транспортних та допоміжних операцій [1]. Разом із тим експлуатація колісних тракторів на перезволожених, пухких та </w:t>
      </w:r>
      <w:proofErr w:type="spellStart"/>
      <w:r w:rsidRPr="00614B35">
        <w:rPr>
          <w:rFonts w:ascii="Times New Roman" w:hAnsi="Times New Roman" w:cs="Times New Roman"/>
          <w:sz w:val="28"/>
          <w:szCs w:val="28"/>
        </w:rPr>
        <w:t>слабонесучих</w:t>
      </w:r>
      <w:proofErr w:type="spellEnd"/>
      <w:r w:rsidRPr="00614B35">
        <w:rPr>
          <w:rFonts w:ascii="Times New Roman" w:hAnsi="Times New Roman" w:cs="Times New Roman"/>
          <w:sz w:val="28"/>
          <w:szCs w:val="28"/>
        </w:rPr>
        <w:t xml:space="preserve"> ґрунтах супроводжується збільшенням буксування, </w:t>
      </w:r>
      <w:proofErr w:type="spellStart"/>
      <w:r w:rsidRPr="00614B35">
        <w:rPr>
          <w:rFonts w:ascii="Times New Roman" w:hAnsi="Times New Roman" w:cs="Times New Roman"/>
          <w:sz w:val="28"/>
          <w:szCs w:val="28"/>
        </w:rPr>
        <w:t>колієутворення</w:t>
      </w:r>
      <w:proofErr w:type="spellEnd"/>
      <w:r w:rsidRPr="00614B35">
        <w:rPr>
          <w:rFonts w:ascii="Times New Roman" w:hAnsi="Times New Roman" w:cs="Times New Roman"/>
          <w:sz w:val="28"/>
          <w:szCs w:val="28"/>
        </w:rPr>
        <w:t>, непродуктивних витрат енергії та ущільнення ґрунту.</w:t>
      </w:r>
    </w:p>
    <w:p w14:paraId="709AF232"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Одним із перспективних напрямів вирішення зазначених проблем є переобладнання серійних колісних тракторів шляхом встановлення гумових гусеничних модулів замість коліс. Такий підхід дозволяє поєднати переваги гусеничного рушія зі збереженням універсальності базового колісного трактора. Особливий інтерес становлять трикутні гусеничні модулі, які </w:t>
      </w:r>
      <w:proofErr w:type="spellStart"/>
      <w:r w:rsidRPr="00614B35">
        <w:rPr>
          <w:rFonts w:ascii="Times New Roman" w:hAnsi="Times New Roman" w:cs="Times New Roman"/>
          <w:sz w:val="28"/>
          <w:szCs w:val="28"/>
        </w:rPr>
        <w:t>конструктивно</w:t>
      </w:r>
      <w:proofErr w:type="spellEnd"/>
      <w:r w:rsidRPr="00614B35">
        <w:rPr>
          <w:rFonts w:ascii="Times New Roman" w:hAnsi="Times New Roman" w:cs="Times New Roman"/>
          <w:sz w:val="28"/>
          <w:szCs w:val="28"/>
        </w:rPr>
        <w:t xml:space="preserve"> можуть встановлюватися на маточини ведучих мостів без суттєвої зміни базової конструкції трактора.</w:t>
      </w:r>
    </w:p>
    <w:p w14:paraId="5562549F"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До основних переваг гусеничного рушія належить збільшення площі контакту ходової системи з опорною поверхнею. Унаслідок цього створюються передумови для зниження середнього питомого тиску на ґрунт та більш повного використання його несучої здатності. Зростання площі контакту також дозволяє реалізувати більшу дотичну силу тяги за меншого буксування, що особливо важливо під час виконання енергоємних технологічних операцій.</w:t>
      </w:r>
    </w:p>
    <w:p w14:paraId="3B423CBF"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Одними з перших експериментальних робіт, що підтвердили перспективність гумових гусениць, є дослідження D. </w:t>
      </w:r>
      <w:proofErr w:type="spellStart"/>
      <w:r w:rsidRPr="00614B35">
        <w:rPr>
          <w:rFonts w:ascii="Times New Roman" w:hAnsi="Times New Roman" w:cs="Times New Roman"/>
          <w:sz w:val="28"/>
          <w:szCs w:val="28"/>
        </w:rPr>
        <w:t>Culshaw</w:t>
      </w:r>
      <w:proofErr w:type="spellEnd"/>
      <w:r w:rsidRPr="00614B35">
        <w:rPr>
          <w:rFonts w:ascii="Times New Roman" w:hAnsi="Times New Roman" w:cs="Times New Roman"/>
          <w:sz w:val="28"/>
          <w:szCs w:val="28"/>
        </w:rPr>
        <w:t xml:space="preserve"> [2]. Порівняння гумового гусеничного рушія з пневматичним тракторним колесом показало, що досліджувана гусениця за відповідних умов забезпечувала приблизно на 25 % більшу силу тяги. Автором зроблено висновок про можливість поєднання в гумовій гусениці високих тягових властивостей традиційного гусеничного рушія з кращою пристосованістю до транспортного руху.</w:t>
      </w:r>
    </w:p>
    <w:p w14:paraId="4F673667"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lastRenderedPageBreak/>
        <w:t xml:space="preserve">Дослідження J. A. </w:t>
      </w:r>
      <w:proofErr w:type="spellStart"/>
      <w:r w:rsidRPr="00614B35">
        <w:rPr>
          <w:rFonts w:ascii="Times New Roman" w:hAnsi="Times New Roman" w:cs="Times New Roman"/>
          <w:sz w:val="28"/>
          <w:szCs w:val="28"/>
        </w:rPr>
        <w:t>Okello</w:t>
      </w:r>
      <w:proofErr w:type="spellEnd"/>
      <w:r w:rsidRPr="00614B35">
        <w:rPr>
          <w:rFonts w:ascii="Times New Roman" w:hAnsi="Times New Roman" w:cs="Times New Roman"/>
          <w:sz w:val="28"/>
          <w:szCs w:val="28"/>
        </w:rPr>
        <w:t xml:space="preserve">, M. J. </w:t>
      </w:r>
      <w:proofErr w:type="spellStart"/>
      <w:r w:rsidRPr="00614B35">
        <w:rPr>
          <w:rFonts w:ascii="Times New Roman" w:hAnsi="Times New Roman" w:cs="Times New Roman"/>
          <w:sz w:val="28"/>
          <w:szCs w:val="28"/>
        </w:rPr>
        <w:t>Dwyer</w:t>
      </w:r>
      <w:proofErr w:type="spellEnd"/>
      <w:r w:rsidRPr="00614B35">
        <w:rPr>
          <w:rFonts w:ascii="Times New Roman" w:hAnsi="Times New Roman" w:cs="Times New Roman"/>
          <w:sz w:val="28"/>
          <w:szCs w:val="28"/>
        </w:rPr>
        <w:t xml:space="preserve"> та F. B. </w:t>
      </w:r>
      <w:proofErr w:type="spellStart"/>
      <w:r w:rsidRPr="00614B35">
        <w:rPr>
          <w:rFonts w:ascii="Times New Roman" w:hAnsi="Times New Roman" w:cs="Times New Roman"/>
          <w:sz w:val="28"/>
          <w:szCs w:val="28"/>
        </w:rPr>
        <w:t>Cottrell</w:t>
      </w:r>
      <w:proofErr w:type="spellEnd"/>
      <w:r w:rsidRPr="00614B35">
        <w:rPr>
          <w:rFonts w:ascii="Times New Roman" w:hAnsi="Times New Roman" w:cs="Times New Roman"/>
          <w:sz w:val="28"/>
          <w:szCs w:val="28"/>
        </w:rPr>
        <w:t xml:space="preserve"> [3] підтвердили, що гумовий гусеничний рушій може забезпечувати більший коефіцієнт тяги і досягати необхідної тягової сили за меншого рівня буксування порівняно з пневматичним колесом. Водночас авторами встановлено, що внутрішні деформації гумової стрічки та втрати в зоні взаємодії ведучого колеса з гусеницею можуть збільшувати опір руху. Це свідчить про те, що ефективність гусеничного модуля визначається не лише площею контакту з ґрунтом, а й конструкцією приводу, жорсткістю гусениці, параметрами опорних котків та правильністю її натягу.</w:t>
      </w:r>
    </w:p>
    <w:p w14:paraId="7AD8AF21"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Важливими для оцінювання перспектив використання змінних гусеничних модулів є результати J. </w:t>
      </w:r>
      <w:proofErr w:type="spellStart"/>
      <w:r w:rsidRPr="00614B35">
        <w:rPr>
          <w:rFonts w:ascii="Times New Roman" w:hAnsi="Times New Roman" w:cs="Times New Roman"/>
          <w:sz w:val="28"/>
          <w:szCs w:val="28"/>
        </w:rPr>
        <w:t>Arvidsson</w:t>
      </w:r>
      <w:proofErr w:type="spellEnd"/>
      <w:r w:rsidRPr="00614B35">
        <w:rPr>
          <w:rFonts w:ascii="Times New Roman" w:hAnsi="Times New Roman" w:cs="Times New Roman"/>
          <w:sz w:val="28"/>
          <w:szCs w:val="28"/>
        </w:rPr>
        <w:t xml:space="preserve">, H. </w:t>
      </w:r>
      <w:proofErr w:type="spellStart"/>
      <w:r w:rsidRPr="00614B35">
        <w:rPr>
          <w:rFonts w:ascii="Times New Roman" w:hAnsi="Times New Roman" w:cs="Times New Roman"/>
          <w:sz w:val="28"/>
          <w:szCs w:val="28"/>
        </w:rPr>
        <w:t>Westlin</w:t>
      </w:r>
      <w:proofErr w:type="spellEnd"/>
      <w:r w:rsidRPr="00614B35">
        <w:rPr>
          <w:rFonts w:ascii="Times New Roman" w:hAnsi="Times New Roman" w:cs="Times New Roman"/>
          <w:sz w:val="28"/>
          <w:szCs w:val="28"/>
        </w:rPr>
        <w:t xml:space="preserve">, T. </w:t>
      </w:r>
      <w:proofErr w:type="spellStart"/>
      <w:r w:rsidRPr="00614B35">
        <w:rPr>
          <w:rFonts w:ascii="Times New Roman" w:hAnsi="Times New Roman" w:cs="Times New Roman"/>
          <w:sz w:val="28"/>
          <w:szCs w:val="28"/>
        </w:rPr>
        <w:t>Keller</w:t>
      </w:r>
      <w:proofErr w:type="spellEnd"/>
      <w:r w:rsidRPr="00614B35">
        <w:rPr>
          <w:rFonts w:ascii="Times New Roman" w:hAnsi="Times New Roman" w:cs="Times New Roman"/>
          <w:sz w:val="28"/>
          <w:szCs w:val="28"/>
        </w:rPr>
        <w:t xml:space="preserve"> та M. </w:t>
      </w:r>
      <w:proofErr w:type="spellStart"/>
      <w:r w:rsidRPr="00614B35">
        <w:rPr>
          <w:rFonts w:ascii="Times New Roman" w:hAnsi="Times New Roman" w:cs="Times New Roman"/>
          <w:sz w:val="28"/>
          <w:szCs w:val="28"/>
        </w:rPr>
        <w:t>Gilbertsson</w:t>
      </w:r>
      <w:proofErr w:type="spellEnd"/>
      <w:r w:rsidRPr="00614B35">
        <w:rPr>
          <w:rFonts w:ascii="Times New Roman" w:hAnsi="Times New Roman" w:cs="Times New Roman"/>
          <w:sz w:val="28"/>
          <w:szCs w:val="28"/>
        </w:rPr>
        <w:t xml:space="preserve"> [4]. У польових дослідженнях порівнювали один і той самий тип трактора, обладнаний гумовими гусеничними модулями, одинарними та здвоєними колесами. Встановлено, що гусеничний варіант характеризувався істотно меншим буксуванням і вищими тяговими можливостями. За показниками напружень у ґрунті та його ущільнення гусениці мали суттєву перевагу над одинарними колесами, тоді як відмінності між гусеницями та здвоєними колесами були значно меншими.</w:t>
      </w:r>
    </w:p>
    <w:p w14:paraId="18F63942"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Зазначені результати є важливими з погляду використання гумових гусеничних модулів на тракторах класу 1,4. Зменшення буксування означає, що більша частина потужності двигуна може реалізуватися у вигляді корисної тягової потужності. Для тракторів середнього тягового класу це потенційно дозволяє підвищити продуктивність машинно-тракторного агрегату без відповідного збільшення маси трактора та надмірного баластування.</w:t>
      </w:r>
    </w:p>
    <w:p w14:paraId="35B1A97A"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Комплексні дослідження G. </w:t>
      </w:r>
      <w:proofErr w:type="spellStart"/>
      <w:r w:rsidRPr="00614B35">
        <w:rPr>
          <w:rFonts w:ascii="Times New Roman" w:hAnsi="Times New Roman" w:cs="Times New Roman"/>
          <w:sz w:val="28"/>
          <w:szCs w:val="28"/>
        </w:rPr>
        <w:t>Molari</w:t>
      </w:r>
      <w:proofErr w:type="spellEnd"/>
      <w:r w:rsidRPr="00614B35">
        <w:rPr>
          <w:rFonts w:ascii="Times New Roman" w:hAnsi="Times New Roman" w:cs="Times New Roman"/>
          <w:sz w:val="28"/>
          <w:szCs w:val="28"/>
        </w:rPr>
        <w:t xml:space="preserve">, L. </w:t>
      </w:r>
      <w:proofErr w:type="spellStart"/>
      <w:r w:rsidRPr="00614B35">
        <w:rPr>
          <w:rFonts w:ascii="Times New Roman" w:hAnsi="Times New Roman" w:cs="Times New Roman"/>
          <w:sz w:val="28"/>
          <w:szCs w:val="28"/>
        </w:rPr>
        <w:t>Bellentani</w:t>
      </w:r>
      <w:proofErr w:type="spellEnd"/>
      <w:r w:rsidRPr="00614B35">
        <w:rPr>
          <w:rFonts w:ascii="Times New Roman" w:hAnsi="Times New Roman" w:cs="Times New Roman"/>
          <w:sz w:val="28"/>
          <w:szCs w:val="28"/>
        </w:rPr>
        <w:t xml:space="preserve">, A. </w:t>
      </w:r>
      <w:proofErr w:type="spellStart"/>
      <w:r w:rsidRPr="00614B35">
        <w:rPr>
          <w:rFonts w:ascii="Times New Roman" w:hAnsi="Times New Roman" w:cs="Times New Roman"/>
          <w:sz w:val="28"/>
          <w:szCs w:val="28"/>
        </w:rPr>
        <w:t>Guarnieri</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Walker</w:t>
      </w:r>
      <w:proofErr w:type="spellEnd"/>
      <w:r w:rsidRPr="00614B35">
        <w:rPr>
          <w:rFonts w:ascii="Times New Roman" w:hAnsi="Times New Roman" w:cs="Times New Roman"/>
          <w:sz w:val="28"/>
          <w:szCs w:val="28"/>
        </w:rPr>
        <w:t xml:space="preserve"> та E. </w:t>
      </w:r>
      <w:proofErr w:type="spellStart"/>
      <w:r w:rsidRPr="00614B35">
        <w:rPr>
          <w:rFonts w:ascii="Times New Roman" w:hAnsi="Times New Roman" w:cs="Times New Roman"/>
          <w:sz w:val="28"/>
          <w:szCs w:val="28"/>
        </w:rPr>
        <w:t>Sedoni</w:t>
      </w:r>
      <w:proofErr w:type="spellEnd"/>
      <w:r w:rsidRPr="00614B35">
        <w:rPr>
          <w:rFonts w:ascii="Times New Roman" w:hAnsi="Times New Roman" w:cs="Times New Roman"/>
          <w:sz w:val="28"/>
          <w:szCs w:val="28"/>
        </w:rPr>
        <w:t xml:space="preserve"> [5] показали переваги </w:t>
      </w:r>
      <w:proofErr w:type="spellStart"/>
      <w:r w:rsidRPr="00614B35">
        <w:rPr>
          <w:rFonts w:ascii="Times New Roman" w:hAnsi="Times New Roman" w:cs="Times New Roman"/>
          <w:sz w:val="28"/>
          <w:szCs w:val="28"/>
        </w:rPr>
        <w:t>повногусеничної</w:t>
      </w:r>
      <w:proofErr w:type="spellEnd"/>
      <w:r w:rsidRPr="00614B35">
        <w:rPr>
          <w:rFonts w:ascii="Times New Roman" w:hAnsi="Times New Roman" w:cs="Times New Roman"/>
          <w:sz w:val="28"/>
          <w:szCs w:val="28"/>
        </w:rPr>
        <w:t xml:space="preserve"> схеми, за якої гумові гусеничні модулі встановлювалися на обидві осі трактора. Порівнювалися конфігурації зі стандартними колесами, баластованими колесами, напівгусеничним та повністю гусеничним ходом. За результатами випробувань повністю гусенична конфігурація забезпечувала кращу тягову ефективність і менше ущільнення ґрунту. Автори також встановили, що напівгусенична схема може поступатися </w:t>
      </w:r>
      <w:proofErr w:type="spellStart"/>
      <w:r w:rsidRPr="00614B35">
        <w:rPr>
          <w:rFonts w:ascii="Times New Roman" w:hAnsi="Times New Roman" w:cs="Times New Roman"/>
          <w:sz w:val="28"/>
          <w:szCs w:val="28"/>
        </w:rPr>
        <w:t>повногусеничній</w:t>
      </w:r>
      <w:proofErr w:type="spellEnd"/>
      <w:r w:rsidRPr="00614B35">
        <w:rPr>
          <w:rFonts w:ascii="Times New Roman" w:hAnsi="Times New Roman" w:cs="Times New Roman"/>
          <w:sz w:val="28"/>
          <w:szCs w:val="28"/>
        </w:rPr>
        <w:t xml:space="preserve"> через несприятливий перерозподіл динамічних навантажень між осями.</w:t>
      </w:r>
    </w:p>
    <w:p w14:paraId="7C1BB3CC"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Особливого значення </w:t>
      </w:r>
      <w:proofErr w:type="spellStart"/>
      <w:r w:rsidRPr="00614B35">
        <w:rPr>
          <w:rFonts w:ascii="Times New Roman" w:hAnsi="Times New Roman" w:cs="Times New Roman"/>
          <w:sz w:val="28"/>
          <w:szCs w:val="28"/>
        </w:rPr>
        <w:t>гумогусеничний</w:t>
      </w:r>
      <w:proofErr w:type="spellEnd"/>
      <w:r w:rsidRPr="00614B35">
        <w:rPr>
          <w:rFonts w:ascii="Times New Roman" w:hAnsi="Times New Roman" w:cs="Times New Roman"/>
          <w:sz w:val="28"/>
          <w:szCs w:val="28"/>
        </w:rPr>
        <w:t xml:space="preserve"> рушій набуває під час роботи на ґрунтах із низькою несучою здатністю. G. </w:t>
      </w:r>
      <w:proofErr w:type="spellStart"/>
      <w:r w:rsidRPr="00614B35">
        <w:rPr>
          <w:rFonts w:ascii="Times New Roman" w:hAnsi="Times New Roman" w:cs="Times New Roman"/>
          <w:sz w:val="28"/>
          <w:szCs w:val="28"/>
        </w:rPr>
        <w:t>Molari</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Mattetti</w:t>
      </w:r>
      <w:proofErr w:type="spellEnd"/>
      <w:r w:rsidRPr="00614B35">
        <w:rPr>
          <w:rFonts w:ascii="Times New Roman" w:hAnsi="Times New Roman" w:cs="Times New Roman"/>
          <w:sz w:val="28"/>
          <w:szCs w:val="28"/>
        </w:rPr>
        <w:t xml:space="preserve"> та M. </w:t>
      </w:r>
      <w:proofErr w:type="spellStart"/>
      <w:r w:rsidRPr="00614B35">
        <w:rPr>
          <w:rFonts w:ascii="Times New Roman" w:hAnsi="Times New Roman" w:cs="Times New Roman"/>
          <w:sz w:val="28"/>
          <w:szCs w:val="28"/>
        </w:rPr>
        <w:t>Walker</w:t>
      </w:r>
      <w:proofErr w:type="spellEnd"/>
      <w:r w:rsidRPr="00614B35">
        <w:rPr>
          <w:rFonts w:ascii="Times New Roman" w:hAnsi="Times New Roman" w:cs="Times New Roman"/>
          <w:sz w:val="28"/>
          <w:szCs w:val="28"/>
        </w:rPr>
        <w:t xml:space="preserve"> [6] під час порівняльного дослідження тракторів на </w:t>
      </w:r>
      <w:proofErr w:type="spellStart"/>
      <w:r w:rsidRPr="00614B35">
        <w:rPr>
          <w:rFonts w:ascii="Times New Roman" w:hAnsi="Times New Roman" w:cs="Times New Roman"/>
          <w:sz w:val="28"/>
          <w:szCs w:val="28"/>
        </w:rPr>
        <w:t>слабонесучому</w:t>
      </w:r>
      <w:proofErr w:type="spellEnd"/>
      <w:r w:rsidRPr="00614B35">
        <w:rPr>
          <w:rFonts w:ascii="Times New Roman" w:hAnsi="Times New Roman" w:cs="Times New Roman"/>
          <w:sz w:val="28"/>
          <w:szCs w:val="28"/>
        </w:rPr>
        <w:t xml:space="preserve"> ґрунті встановили вищу тягову ефективність, менше ущільнення та зниження питомої витрати палива повністю гусеничного варіанта. За досліджених умов зменшення питомої витрати палива сягало 20 %. Це свідчить про доцільність використання гумових </w:t>
      </w:r>
      <w:r w:rsidRPr="00614B35">
        <w:rPr>
          <w:rFonts w:ascii="Times New Roman" w:hAnsi="Times New Roman" w:cs="Times New Roman"/>
          <w:sz w:val="28"/>
          <w:szCs w:val="28"/>
        </w:rPr>
        <w:lastRenderedPageBreak/>
        <w:t>гусеничних модулів насамперед у періоди, коли несуча здатність ґрунту є обмеженою внаслідок підвищеної вологості.</w:t>
      </w:r>
    </w:p>
    <w:p w14:paraId="64489AC1"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Для тракторів класу 1,4 така властивість є особливо актуальною під час ранньовесняних та </w:t>
      </w:r>
      <w:proofErr w:type="spellStart"/>
      <w:r w:rsidRPr="00614B35">
        <w:rPr>
          <w:rFonts w:ascii="Times New Roman" w:hAnsi="Times New Roman" w:cs="Times New Roman"/>
          <w:sz w:val="28"/>
          <w:szCs w:val="28"/>
        </w:rPr>
        <w:t>пізньоосінніх</w:t>
      </w:r>
      <w:proofErr w:type="spellEnd"/>
      <w:r w:rsidRPr="00614B35">
        <w:rPr>
          <w:rFonts w:ascii="Times New Roman" w:hAnsi="Times New Roman" w:cs="Times New Roman"/>
          <w:sz w:val="28"/>
          <w:szCs w:val="28"/>
        </w:rPr>
        <w:t xml:space="preserve"> польових робіт. Застосування змінних модулів може розширити допустимі строки виконання технологічних операцій, знизити ймовірність </w:t>
      </w:r>
      <w:proofErr w:type="spellStart"/>
      <w:r w:rsidRPr="00614B35">
        <w:rPr>
          <w:rFonts w:ascii="Times New Roman" w:hAnsi="Times New Roman" w:cs="Times New Roman"/>
          <w:sz w:val="28"/>
          <w:szCs w:val="28"/>
        </w:rPr>
        <w:t>застрягання</w:t>
      </w:r>
      <w:proofErr w:type="spellEnd"/>
      <w:r w:rsidRPr="00614B35">
        <w:rPr>
          <w:rFonts w:ascii="Times New Roman" w:hAnsi="Times New Roman" w:cs="Times New Roman"/>
          <w:sz w:val="28"/>
          <w:szCs w:val="28"/>
        </w:rPr>
        <w:t xml:space="preserve"> агрегату та забезпечити стабільнішу робочу швидкість. Це має практичне значення для передпосівного обробітку ґрунту, сівби, внесення добрив, міжрядного обробітку, кормозаготівельних та інших операцій.</w:t>
      </w:r>
    </w:p>
    <w:p w14:paraId="6D0C123F"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Водночас збільшення площі контакту не гарантує автоматичного зменшення негативного впливу на ґрунт. Дослідження P. </w:t>
      </w:r>
      <w:proofErr w:type="spellStart"/>
      <w:r w:rsidRPr="00614B35">
        <w:rPr>
          <w:rFonts w:ascii="Times New Roman" w:hAnsi="Times New Roman" w:cs="Times New Roman"/>
          <w:sz w:val="28"/>
          <w:szCs w:val="28"/>
        </w:rPr>
        <w:t>Servadio</w:t>
      </w:r>
      <w:proofErr w:type="spellEnd"/>
      <w:r w:rsidRPr="00614B35">
        <w:rPr>
          <w:rFonts w:ascii="Times New Roman" w:hAnsi="Times New Roman" w:cs="Times New Roman"/>
          <w:sz w:val="28"/>
          <w:szCs w:val="28"/>
        </w:rPr>
        <w:t xml:space="preserve">, A. </w:t>
      </w:r>
      <w:proofErr w:type="spellStart"/>
      <w:r w:rsidRPr="00614B35">
        <w:rPr>
          <w:rFonts w:ascii="Times New Roman" w:hAnsi="Times New Roman" w:cs="Times New Roman"/>
          <w:sz w:val="28"/>
          <w:szCs w:val="28"/>
        </w:rPr>
        <w:t>Marsili</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Pagliai</w:t>
      </w:r>
      <w:proofErr w:type="spellEnd"/>
      <w:r w:rsidRPr="00614B35">
        <w:rPr>
          <w:rFonts w:ascii="Times New Roman" w:hAnsi="Times New Roman" w:cs="Times New Roman"/>
          <w:sz w:val="28"/>
          <w:szCs w:val="28"/>
        </w:rPr>
        <w:t xml:space="preserve">, S. </w:t>
      </w:r>
      <w:proofErr w:type="spellStart"/>
      <w:r w:rsidRPr="00614B35">
        <w:rPr>
          <w:rFonts w:ascii="Times New Roman" w:hAnsi="Times New Roman" w:cs="Times New Roman"/>
          <w:sz w:val="28"/>
          <w:szCs w:val="28"/>
        </w:rPr>
        <w:t>Pellegrini</w:t>
      </w:r>
      <w:proofErr w:type="spellEnd"/>
      <w:r w:rsidRPr="00614B35">
        <w:rPr>
          <w:rFonts w:ascii="Times New Roman" w:hAnsi="Times New Roman" w:cs="Times New Roman"/>
          <w:sz w:val="28"/>
          <w:szCs w:val="28"/>
        </w:rPr>
        <w:t xml:space="preserve"> та N. </w:t>
      </w:r>
      <w:proofErr w:type="spellStart"/>
      <w:r w:rsidRPr="00614B35">
        <w:rPr>
          <w:rFonts w:ascii="Times New Roman" w:hAnsi="Times New Roman" w:cs="Times New Roman"/>
          <w:sz w:val="28"/>
          <w:szCs w:val="28"/>
        </w:rPr>
        <w:t>Vignozzi</w:t>
      </w:r>
      <w:proofErr w:type="spellEnd"/>
      <w:r w:rsidRPr="00614B35">
        <w:rPr>
          <w:rFonts w:ascii="Times New Roman" w:hAnsi="Times New Roman" w:cs="Times New Roman"/>
          <w:sz w:val="28"/>
          <w:szCs w:val="28"/>
        </w:rPr>
        <w:t xml:space="preserve"> [7] показали, що характер ущільнення залежить від розподілу контактного тиску, кількості проходів, стану та вологості ґрунту. В окремих випадках у верхньому шарі ґрунту </w:t>
      </w:r>
      <w:proofErr w:type="spellStart"/>
      <w:r w:rsidRPr="00614B35">
        <w:rPr>
          <w:rFonts w:ascii="Times New Roman" w:hAnsi="Times New Roman" w:cs="Times New Roman"/>
          <w:sz w:val="28"/>
          <w:szCs w:val="28"/>
        </w:rPr>
        <w:t>гумогусеничний</w:t>
      </w:r>
      <w:proofErr w:type="spellEnd"/>
      <w:r w:rsidRPr="00614B35">
        <w:rPr>
          <w:rFonts w:ascii="Times New Roman" w:hAnsi="Times New Roman" w:cs="Times New Roman"/>
          <w:sz w:val="28"/>
          <w:szCs w:val="28"/>
        </w:rPr>
        <w:t xml:space="preserve"> трактор не демонстрував однозначної переваги перед колісним. Причиною цього може бути нерівномірність навантаження вздовж гусениці та виникнення локальних зон підвищених контактних напружень під опорними котками.</w:t>
      </w:r>
    </w:p>
    <w:p w14:paraId="3840C70A"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Тому перспективність застосування гумових гусеничних модулів на тракторах класу 1,4 значною мірою залежить від оптимізації їх конструкційних параметрів. До основних параметрів слід віднести ширину і довжину опорної поверхні гусениці, кількість та розташування опорних котків, діаметр ведучого колеса, висоту </w:t>
      </w:r>
      <w:proofErr w:type="spellStart"/>
      <w:r w:rsidRPr="00614B35">
        <w:rPr>
          <w:rFonts w:ascii="Times New Roman" w:hAnsi="Times New Roman" w:cs="Times New Roman"/>
          <w:sz w:val="28"/>
          <w:szCs w:val="28"/>
        </w:rPr>
        <w:t>ґрунтозачепів</w:t>
      </w:r>
      <w:proofErr w:type="spellEnd"/>
      <w:r w:rsidRPr="00614B35">
        <w:rPr>
          <w:rFonts w:ascii="Times New Roman" w:hAnsi="Times New Roman" w:cs="Times New Roman"/>
          <w:sz w:val="28"/>
          <w:szCs w:val="28"/>
        </w:rPr>
        <w:t>, жорсткість гумової стрічки, натяг гусениці, масу модуля та положення його центра мас.</w:t>
      </w:r>
    </w:p>
    <w:p w14:paraId="04086487"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Окремого дослідження потребує вплив маси гусеничних модулів на навантаження елементів трансмісії та ходової частини трактора. Встановлення модулів збільшує непідресорену масу та може змінювати крутні моменти, що передаються через </w:t>
      </w:r>
      <w:proofErr w:type="spellStart"/>
      <w:r w:rsidRPr="00614B35">
        <w:rPr>
          <w:rFonts w:ascii="Times New Roman" w:hAnsi="Times New Roman" w:cs="Times New Roman"/>
          <w:sz w:val="28"/>
          <w:szCs w:val="28"/>
        </w:rPr>
        <w:t>півосі</w:t>
      </w:r>
      <w:proofErr w:type="spellEnd"/>
      <w:r w:rsidRPr="00614B35">
        <w:rPr>
          <w:rFonts w:ascii="Times New Roman" w:hAnsi="Times New Roman" w:cs="Times New Roman"/>
          <w:sz w:val="28"/>
          <w:szCs w:val="28"/>
        </w:rPr>
        <w:t>, кінцеві передачі та диференціал. У зв'язку з цим адаптація серійного трактора класу 1,4 повинна передбачати перевірку допустимих навантажень на ведучі мости та оцінювання довговічності елементів трансмісії.</w:t>
      </w:r>
    </w:p>
    <w:p w14:paraId="53232AFC"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Важливим напрямом удосконалення є забезпечення можливості швидкого переходу від колісної до гусеничної комплектації. На відміну від спеціалізованого гусеничного трактора, змінні модулі дають можливість використовувати один енергетичний засіб у різних технологічних умовах. Під час транспортних робіт та експлуатації на ґрунтах із достатньою несучою здатністю доцільно використовувати традиційний колісний рушій, а під час роботи на пухких і перезволожених ґрунтах – </w:t>
      </w:r>
      <w:proofErr w:type="spellStart"/>
      <w:r w:rsidRPr="00614B35">
        <w:rPr>
          <w:rFonts w:ascii="Times New Roman" w:hAnsi="Times New Roman" w:cs="Times New Roman"/>
          <w:sz w:val="28"/>
          <w:szCs w:val="28"/>
        </w:rPr>
        <w:t>гумогусеничний</w:t>
      </w:r>
      <w:proofErr w:type="spellEnd"/>
      <w:r w:rsidRPr="00614B35">
        <w:rPr>
          <w:rFonts w:ascii="Times New Roman" w:hAnsi="Times New Roman" w:cs="Times New Roman"/>
          <w:sz w:val="28"/>
          <w:szCs w:val="28"/>
        </w:rPr>
        <w:t>. Такий підхід дозволяє підвищити універсальність трактора та інтенсивність його річного завантаження.</w:t>
      </w:r>
    </w:p>
    <w:p w14:paraId="1572C7B9"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Перспективним є також використання комбінованої схеми, за якої гусеничні модулі встановлюються тільки на задній ведучий міст. Такий варіант є </w:t>
      </w:r>
      <w:proofErr w:type="spellStart"/>
      <w:r w:rsidRPr="00614B35">
        <w:rPr>
          <w:rFonts w:ascii="Times New Roman" w:hAnsi="Times New Roman" w:cs="Times New Roman"/>
          <w:sz w:val="28"/>
          <w:szCs w:val="28"/>
        </w:rPr>
        <w:lastRenderedPageBreak/>
        <w:t>конструктивно</w:t>
      </w:r>
      <w:proofErr w:type="spellEnd"/>
      <w:r w:rsidRPr="00614B35">
        <w:rPr>
          <w:rFonts w:ascii="Times New Roman" w:hAnsi="Times New Roman" w:cs="Times New Roman"/>
          <w:sz w:val="28"/>
          <w:szCs w:val="28"/>
        </w:rPr>
        <w:t xml:space="preserve"> простішим і дешевшим, однак результати досліджень [5] свідчать, що його ефективність суттєво залежить від розподілу маси між осями. Тому для тракторів класу 1,4 необхідно експериментально визначати раціональне положення центра мас і навантаження на передній та задній мости.</w:t>
      </w:r>
    </w:p>
    <w:p w14:paraId="05D08749"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Аналіз наукових праць показує, що безпосередніх експериментальних досліджень гумових гусеничних модулів саме на тракторах тягового класу 1,4 недостатньо. Більша частина опублікованих робіт присвячена машинам більшої потужності та маси. Тому пряме перенесення кількісних результатів цих досліджень на трактори класу 1,4 потребує обережності. Водночас встановлені закономірності взаємодії гумової гусениці з ґрунтом дають підстави прогнозувати позитивний ефект і для цього класу тракторів.</w:t>
      </w:r>
    </w:p>
    <w:p w14:paraId="3185C823"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Подальші дослідження доцільно спрямувати на порівняльні польові випробування серійного трактора класу 1,4 у колісній та </w:t>
      </w:r>
      <w:proofErr w:type="spellStart"/>
      <w:r w:rsidRPr="00614B35">
        <w:rPr>
          <w:rFonts w:ascii="Times New Roman" w:hAnsi="Times New Roman" w:cs="Times New Roman"/>
          <w:sz w:val="28"/>
          <w:szCs w:val="28"/>
        </w:rPr>
        <w:t>гумогусеничній</w:t>
      </w:r>
      <w:proofErr w:type="spellEnd"/>
      <w:r w:rsidRPr="00614B35">
        <w:rPr>
          <w:rFonts w:ascii="Times New Roman" w:hAnsi="Times New Roman" w:cs="Times New Roman"/>
          <w:sz w:val="28"/>
          <w:szCs w:val="28"/>
        </w:rPr>
        <w:t xml:space="preserve"> комплектаціях. Основними оціночними показниками мають бути сила тяги на гаку, коефіцієнт буксування, тяговий ККД, робоча швидкість, продуктивність, погодинна та питома витрата палива, глибина колії, питомий тиск на ґрунт, щільність і опір </w:t>
      </w:r>
      <w:proofErr w:type="spellStart"/>
      <w:r w:rsidRPr="00614B35">
        <w:rPr>
          <w:rFonts w:ascii="Times New Roman" w:hAnsi="Times New Roman" w:cs="Times New Roman"/>
          <w:sz w:val="28"/>
          <w:szCs w:val="28"/>
        </w:rPr>
        <w:t>пенетрації</w:t>
      </w:r>
      <w:proofErr w:type="spellEnd"/>
      <w:r w:rsidRPr="00614B35">
        <w:rPr>
          <w:rFonts w:ascii="Times New Roman" w:hAnsi="Times New Roman" w:cs="Times New Roman"/>
          <w:sz w:val="28"/>
          <w:szCs w:val="28"/>
        </w:rPr>
        <w:t xml:space="preserve"> ґрунту. Доцільним є також визначення навантажень у трансмісії, температурного режиму гусениці, її зносостійкості та економічно обґрунтованого ресурсу.</w:t>
      </w:r>
    </w:p>
    <w:p w14:paraId="7FD70F2B" w14:textId="77777777" w:rsidR="00614B35" w:rsidRPr="00614B35" w:rsidRDefault="00614B35" w:rsidP="00540A82">
      <w:pPr>
        <w:spacing w:after="0" w:line="276" w:lineRule="auto"/>
        <w:ind w:firstLine="709"/>
        <w:jc w:val="both"/>
        <w:rPr>
          <w:rFonts w:ascii="Times New Roman" w:hAnsi="Times New Roman" w:cs="Times New Roman"/>
          <w:sz w:val="28"/>
          <w:szCs w:val="28"/>
        </w:rPr>
      </w:pPr>
      <w:r w:rsidRPr="00614B35">
        <w:rPr>
          <w:rFonts w:ascii="Times New Roman" w:hAnsi="Times New Roman" w:cs="Times New Roman"/>
          <w:sz w:val="28"/>
          <w:szCs w:val="28"/>
        </w:rPr>
        <w:t xml:space="preserve">Таким чином, використання гумових гусеничних модулів на тракторах класу 1,4 є перспективним напрямом підвищення їх тягово-зчіпних, агротехнічних та експлуатаційних показників. Найбільший ефект слід очікувати на пухких, перезволожених та </w:t>
      </w:r>
      <w:proofErr w:type="spellStart"/>
      <w:r w:rsidRPr="00614B35">
        <w:rPr>
          <w:rFonts w:ascii="Times New Roman" w:hAnsi="Times New Roman" w:cs="Times New Roman"/>
          <w:sz w:val="28"/>
          <w:szCs w:val="28"/>
        </w:rPr>
        <w:t>слабонесучих</w:t>
      </w:r>
      <w:proofErr w:type="spellEnd"/>
      <w:r w:rsidRPr="00614B35">
        <w:rPr>
          <w:rFonts w:ascii="Times New Roman" w:hAnsi="Times New Roman" w:cs="Times New Roman"/>
          <w:sz w:val="28"/>
          <w:szCs w:val="28"/>
        </w:rPr>
        <w:t xml:space="preserve"> ґрунтах, де традиційний колісний рушій характеризується підвищеним буксуванням. Основними потенційними перевагами є зменшення буксування і </w:t>
      </w:r>
      <w:proofErr w:type="spellStart"/>
      <w:r w:rsidRPr="00614B35">
        <w:rPr>
          <w:rFonts w:ascii="Times New Roman" w:hAnsi="Times New Roman" w:cs="Times New Roman"/>
          <w:sz w:val="28"/>
          <w:szCs w:val="28"/>
        </w:rPr>
        <w:t>колієутворення</w:t>
      </w:r>
      <w:proofErr w:type="spellEnd"/>
      <w:r w:rsidRPr="00614B35">
        <w:rPr>
          <w:rFonts w:ascii="Times New Roman" w:hAnsi="Times New Roman" w:cs="Times New Roman"/>
          <w:sz w:val="28"/>
          <w:szCs w:val="28"/>
        </w:rPr>
        <w:t xml:space="preserve">, підвищення тягових можливостей, зниження ущільнення ґрунту та витрат палива на одиницю виконаної роботи. Практична реалізація цих переваг вимагає обґрунтування геометричних і силових параметрів модуля, оптимізації розподілу маси трактора та оцінювання впливу гусеничного рушія на довговічність трансмісії. Саме створення адаптованих до тракторів класу 1,4 </w:t>
      </w:r>
      <w:proofErr w:type="spellStart"/>
      <w:r w:rsidRPr="00614B35">
        <w:rPr>
          <w:rFonts w:ascii="Times New Roman" w:hAnsi="Times New Roman" w:cs="Times New Roman"/>
          <w:sz w:val="28"/>
          <w:szCs w:val="28"/>
        </w:rPr>
        <w:t>швидкознімних</w:t>
      </w:r>
      <w:proofErr w:type="spellEnd"/>
      <w:r w:rsidRPr="00614B35">
        <w:rPr>
          <w:rFonts w:ascii="Times New Roman" w:hAnsi="Times New Roman" w:cs="Times New Roman"/>
          <w:sz w:val="28"/>
          <w:szCs w:val="28"/>
        </w:rPr>
        <w:t xml:space="preserve"> гумових гусеничних модулів може стати перспективним напрямом подальшого розвитку універсальних мобільних енергетичних засобів сільськогосподарського призначення.</w:t>
      </w:r>
    </w:p>
    <w:p w14:paraId="377A235B" w14:textId="77777777" w:rsidR="00614B35" w:rsidRPr="00614B35" w:rsidRDefault="00614B35" w:rsidP="00540A82">
      <w:pPr>
        <w:spacing w:after="0" w:line="276" w:lineRule="auto"/>
        <w:ind w:firstLine="709"/>
        <w:jc w:val="both"/>
        <w:rPr>
          <w:rFonts w:ascii="Times New Roman" w:hAnsi="Times New Roman" w:cs="Times New Roman"/>
          <w:sz w:val="28"/>
          <w:szCs w:val="28"/>
        </w:rPr>
      </w:pPr>
    </w:p>
    <w:p w14:paraId="63AB2CED" w14:textId="77777777" w:rsidR="00614B35" w:rsidRPr="00614B35" w:rsidRDefault="00614B35" w:rsidP="00540A82">
      <w:pPr>
        <w:spacing w:after="0" w:line="276" w:lineRule="auto"/>
        <w:jc w:val="center"/>
        <w:rPr>
          <w:rFonts w:ascii="Times New Roman" w:hAnsi="Times New Roman" w:cs="Times New Roman"/>
          <w:b/>
          <w:bCs/>
          <w:sz w:val="28"/>
          <w:szCs w:val="28"/>
        </w:rPr>
      </w:pPr>
      <w:r w:rsidRPr="00614B35">
        <w:rPr>
          <w:rFonts w:ascii="Times New Roman" w:hAnsi="Times New Roman" w:cs="Times New Roman"/>
          <w:b/>
          <w:bCs/>
          <w:sz w:val="28"/>
          <w:szCs w:val="28"/>
        </w:rPr>
        <w:t>Список використаних джерел</w:t>
      </w:r>
    </w:p>
    <w:p w14:paraId="2396A2A1" w14:textId="77777777" w:rsidR="00614B35"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t>Грубань</w:t>
      </w:r>
      <w:proofErr w:type="spellEnd"/>
      <w:r w:rsidRPr="00614B35">
        <w:rPr>
          <w:rFonts w:ascii="Times New Roman" w:hAnsi="Times New Roman" w:cs="Times New Roman"/>
          <w:sz w:val="28"/>
          <w:szCs w:val="28"/>
        </w:rPr>
        <w:t xml:space="preserve"> В. А. Трактори і автомобілі : методичні матеріали. Миколаїв : Миколаївський національний аграрний університет, 2022. УДК 631.372.</w:t>
      </w:r>
    </w:p>
    <w:p w14:paraId="784CFA27" w14:textId="77777777" w:rsidR="00614B35"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t>Culshaw</w:t>
      </w:r>
      <w:proofErr w:type="spellEnd"/>
      <w:r w:rsidRPr="00614B35">
        <w:rPr>
          <w:rFonts w:ascii="Times New Roman" w:hAnsi="Times New Roman" w:cs="Times New Roman"/>
          <w:sz w:val="28"/>
          <w:szCs w:val="28"/>
        </w:rPr>
        <w:t xml:space="preserve"> D. </w:t>
      </w:r>
      <w:proofErr w:type="spellStart"/>
      <w:r w:rsidRPr="00614B35">
        <w:rPr>
          <w:rFonts w:ascii="Times New Roman" w:hAnsi="Times New Roman" w:cs="Times New Roman"/>
          <w:sz w:val="28"/>
          <w:szCs w:val="28"/>
        </w:rPr>
        <w:t>Rubber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tracks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for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traction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Journal</w:t>
      </w:r>
      <w:proofErr w:type="spellEnd"/>
      <w:r w:rsidRPr="00614B35">
        <w:rPr>
          <w:rFonts w:ascii="Times New Roman" w:hAnsi="Times New Roman" w:cs="Times New Roman"/>
          <w:sz w:val="28"/>
          <w:szCs w:val="28"/>
        </w:rPr>
        <w:t xml:space="preserve"> of </w:t>
      </w:r>
      <w:proofErr w:type="spellStart"/>
      <w:r w:rsidRPr="00614B35">
        <w:rPr>
          <w:rFonts w:ascii="Times New Roman" w:hAnsi="Times New Roman" w:cs="Times New Roman"/>
          <w:sz w:val="28"/>
          <w:szCs w:val="28"/>
        </w:rPr>
        <w:t>Terramechanics</w:t>
      </w:r>
      <w:proofErr w:type="spellEnd"/>
      <w:r w:rsidRPr="00614B35">
        <w:rPr>
          <w:rFonts w:ascii="Times New Roman" w:hAnsi="Times New Roman" w:cs="Times New Roman"/>
          <w:sz w:val="28"/>
          <w:szCs w:val="28"/>
        </w:rPr>
        <w:t xml:space="preserve">. 1988. </w:t>
      </w:r>
      <w:proofErr w:type="spellStart"/>
      <w:r w:rsidRPr="00614B35">
        <w:rPr>
          <w:rFonts w:ascii="Times New Roman" w:hAnsi="Times New Roman" w:cs="Times New Roman"/>
          <w:sz w:val="28"/>
          <w:szCs w:val="28"/>
        </w:rPr>
        <w:t>Vol</w:t>
      </w:r>
      <w:proofErr w:type="spellEnd"/>
      <w:r w:rsidRPr="00614B35">
        <w:rPr>
          <w:rFonts w:ascii="Times New Roman" w:hAnsi="Times New Roman" w:cs="Times New Roman"/>
          <w:sz w:val="28"/>
          <w:szCs w:val="28"/>
        </w:rPr>
        <w:t xml:space="preserve">. 25, </w:t>
      </w:r>
      <w:proofErr w:type="spellStart"/>
      <w:r w:rsidRPr="00614B35">
        <w:rPr>
          <w:rFonts w:ascii="Times New Roman" w:hAnsi="Times New Roman" w:cs="Times New Roman"/>
          <w:sz w:val="28"/>
          <w:szCs w:val="28"/>
        </w:rPr>
        <w:t>No</w:t>
      </w:r>
      <w:proofErr w:type="spellEnd"/>
      <w:r w:rsidRPr="00614B35">
        <w:rPr>
          <w:rFonts w:ascii="Times New Roman" w:hAnsi="Times New Roman" w:cs="Times New Roman"/>
          <w:sz w:val="28"/>
          <w:szCs w:val="28"/>
        </w:rPr>
        <w:t>. 1. P. 69–80. DOI: 10.1016/0022-4898(88)90063-8.</w:t>
      </w:r>
    </w:p>
    <w:p w14:paraId="09AA2B6C" w14:textId="77777777" w:rsidR="00614B35"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lastRenderedPageBreak/>
        <w:t>Okello</w:t>
      </w:r>
      <w:proofErr w:type="spellEnd"/>
      <w:r w:rsidRPr="00614B35">
        <w:rPr>
          <w:rFonts w:ascii="Times New Roman" w:hAnsi="Times New Roman" w:cs="Times New Roman"/>
          <w:sz w:val="28"/>
          <w:szCs w:val="28"/>
        </w:rPr>
        <w:t xml:space="preserve"> J. A., </w:t>
      </w:r>
      <w:proofErr w:type="spellStart"/>
      <w:r w:rsidRPr="00614B35">
        <w:rPr>
          <w:rFonts w:ascii="Times New Roman" w:hAnsi="Times New Roman" w:cs="Times New Roman"/>
          <w:sz w:val="28"/>
          <w:szCs w:val="28"/>
        </w:rPr>
        <w:t>Dwyer</w:t>
      </w:r>
      <w:proofErr w:type="spellEnd"/>
      <w:r w:rsidRPr="00614B35">
        <w:rPr>
          <w:rFonts w:ascii="Times New Roman" w:hAnsi="Times New Roman" w:cs="Times New Roman"/>
          <w:sz w:val="28"/>
          <w:szCs w:val="28"/>
        </w:rPr>
        <w:t xml:space="preserve"> M. J., </w:t>
      </w:r>
      <w:proofErr w:type="spellStart"/>
      <w:r w:rsidRPr="00614B35">
        <w:rPr>
          <w:rFonts w:ascii="Times New Roman" w:hAnsi="Times New Roman" w:cs="Times New Roman"/>
          <w:sz w:val="28"/>
          <w:szCs w:val="28"/>
        </w:rPr>
        <w:t>Cottrell</w:t>
      </w:r>
      <w:proofErr w:type="spellEnd"/>
      <w:r w:rsidRPr="00614B35">
        <w:rPr>
          <w:rFonts w:ascii="Times New Roman" w:hAnsi="Times New Roman" w:cs="Times New Roman"/>
          <w:sz w:val="28"/>
          <w:szCs w:val="28"/>
        </w:rPr>
        <w:t xml:space="preserve"> F. B. </w:t>
      </w:r>
      <w:proofErr w:type="spellStart"/>
      <w:r w:rsidRPr="00614B35">
        <w:rPr>
          <w:rFonts w:ascii="Times New Roman" w:hAnsi="Times New Roman" w:cs="Times New Roman"/>
          <w:sz w:val="28"/>
          <w:szCs w:val="28"/>
        </w:rPr>
        <w:t>The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tractive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performance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of</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rubber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tracks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and</w:t>
      </w:r>
      <w:proofErr w:type="spellEnd"/>
      <w:r w:rsidRPr="00614B35">
        <w:rPr>
          <w:rFonts w:ascii="Times New Roman" w:hAnsi="Times New Roman" w:cs="Times New Roman"/>
          <w:sz w:val="28"/>
          <w:szCs w:val="28"/>
        </w:rPr>
        <w:t xml:space="preserve"> a </w:t>
      </w:r>
      <w:proofErr w:type="spellStart"/>
      <w:r w:rsidRPr="00614B35">
        <w:rPr>
          <w:rFonts w:ascii="Times New Roman" w:hAnsi="Times New Roman" w:cs="Times New Roman"/>
          <w:sz w:val="28"/>
          <w:szCs w:val="28"/>
        </w:rPr>
        <w:t>tractor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driving</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wheel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tyre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influenced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by</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design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parameters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Journal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of</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Agricultural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Engineering</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Research</w:t>
      </w:r>
      <w:proofErr w:type="spellEnd"/>
      <w:r w:rsidRPr="00614B35">
        <w:rPr>
          <w:rFonts w:ascii="Times New Roman" w:hAnsi="Times New Roman" w:cs="Times New Roman"/>
          <w:sz w:val="28"/>
          <w:szCs w:val="28"/>
        </w:rPr>
        <w:t xml:space="preserve">. 1994. </w:t>
      </w:r>
      <w:proofErr w:type="spellStart"/>
      <w:r w:rsidRPr="00614B35">
        <w:rPr>
          <w:rFonts w:ascii="Times New Roman" w:hAnsi="Times New Roman" w:cs="Times New Roman"/>
          <w:sz w:val="28"/>
          <w:szCs w:val="28"/>
        </w:rPr>
        <w:t>Vol</w:t>
      </w:r>
      <w:proofErr w:type="spellEnd"/>
      <w:r w:rsidRPr="00614B35">
        <w:rPr>
          <w:rFonts w:ascii="Times New Roman" w:hAnsi="Times New Roman" w:cs="Times New Roman"/>
          <w:sz w:val="28"/>
          <w:szCs w:val="28"/>
        </w:rPr>
        <w:t xml:space="preserve">. 59, </w:t>
      </w:r>
      <w:proofErr w:type="spellStart"/>
      <w:r w:rsidRPr="00614B35">
        <w:rPr>
          <w:rFonts w:ascii="Times New Roman" w:hAnsi="Times New Roman" w:cs="Times New Roman"/>
          <w:sz w:val="28"/>
          <w:szCs w:val="28"/>
        </w:rPr>
        <w:t>No</w:t>
      </w:r>
      <w:proofErr w:type="spellEnd"/>
      <w:r w:rsidRPr="00614B35">
        <w:rPr>
          <w:rFonts w:ascii="Times New Roman" w:hAnsi="Times New Roman" w:cs="Times New Roman"/>
          <w:sz w:val="28"/>
          <w:szCs w:val="28"/>
        </w:rPr>
        <w:t>. 1. P. 33–43. DOI: 10.1006/jaer.1994.1062.</w:t>
      </w:r>
    </w:p>
    <w:p w14:paraId="09FD66C5" w14:textId="77777777" w:rsidR="00614B35"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t>Arvidsson</w:t>
      </w:r>
      <w:proofErr w:type="spellEnd"/>
      <w:r w:rsidRPr="00614B35">
        <w:rPr>
          <w:rFonts w:ascii="Times New Roman" w:hAnsi="Times New Roman" w:cs="Times New Roman"/>
          <w:sz w:val="28"/>
          <w:szCs w:val="28"/>
        </w:rPr>
        <w:t xml:space="preserve"> J., </w:t>
      </w:r>
      <w:proofErr w:type="spellStart"/>
      <w:r w:rsidRPr="00614B35">
        <w:rPr>
          <w:rFonts w:ascii="Times New Roman" w:hAnsi="Times New Roman" w:cs="Times New Roman"/>
          <w:sz w:val="28"/>
          <w:szCs w:val="28"/>
        </w:rPr>
        <w:t>Westlin</w:t>
      </w:r>
      <w:proofErr w:type="spellEnd"/>
      <w:r w:rsidRPr="00614B35">
        <w:rPr>
          <w:rFonts w:ascii="Times New Roman" w:hAnsi="Times New Roman" w:cs="Times New Roman"/>
          <w:sz w:val="28"/>
          <w:szCs w:val="28"/>
        </w:rPr>
        <w:t xml:space="preserve"> H., </w:t>
      </w:r>
      <w:proofErr w:type="spellStart"/>
      <w:r w:rsidRPr="00614B35">
        <w:rPr>
          <w:rFonts w:ascii="Times New Roman" w:hAnsi="Times New Roman" w:cs="Times New Roman"/>
          <w:sz w:val="28"/>
          <w:szCs w:val="28"/>
        </w:rPr>
        <w:t>Keller</w:t>
      </w:r>
      <w:proofErr w:type="spellEnd"/>
      <w:r w:rsidRPr="00614B35">
        <w:rPr>
          <w:rFonts w:ascii="Times New Roman" w:hAnsi="Times New Roman" w:cs="Times New Roman"/>
          <w:sz w:val="28"/>
          <w:szCs w:val="28"/>
        </w:rPr>
        <w:t xml:space="preserve"> T., </w:t>
      </w:r>
      <w:proofErr w:type="spellStart"/>
      <w:r w:rsidRPr="00614B35">
        <w:rPr>
          <w:rFonts w:ascii="Times New Roman" w:hAnsi="Times New Roman" w:cs="Times New Roman"/>
          <w:sz w:val="28"/>
          <w:szCs w:val="28"/>
        </w:rPr>
        <w:t>Gilbertsson</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Rubber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track</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systems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for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conventional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tractors</w:t>
      </w:r>
      <w:proofErr w:type="spellEnd"/>
      <w:r w:rsidRPr="00614B35">
        <w:rPr>
          <w:rFonts w:ascii="Times New Roman" w:hAnsi="Times New Roman" w:cs="Times New Roman"/>
          <w:sz w:val="28"/>
          <w:szCs w:val="28"/>
        </w:rPr>
        <w:t xml:space="preserve"> – </w:t>
      </w:r>
      <w:proofErr w:type="spellStart"/>
      <w:r w:rsidRPr="00614B35">
        <w:rPr>
          <w:rFonts w:ascii="Times New Roman" w:hAnsi="Times New Roman" w:cs="Times New Roman"/>
          <w:sz w:val="28"/>
          <w:szCs w:val="28"/>
        </w:rPr>
        <w:t>Effects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soil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compaction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traction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Soil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Tillage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Research</w:t>
      </w:r>
      <w:proofErr w:type="spellEnd"/>
      <w:r w:rsidRPr="00614B35">
        <w:rPr>
          <w:rFonts w:ascii="Times New Roman" w:hAnsi="Times New Roman" w:cs="Times New Roman"/>
          <w:sz w:val="28"/>
          <w:szCs w:val="28"/>
        </w:rPr>
        <w:t xml:space="preserve">. 2011. </w:t>
      </w:r>
      <w:proofErr w:type="spellStart"/>
      <w:r w:rsidRPr="00614B35">
        <w:rPr>
          <w:rFonts w:ascii="Times New Roman" w:hAnsi="Times New Roman" w:cs="Times New Roman"/>
          <w:sz w:val="28"/>
          <w:szCs w:val="28"/>
        </w:rPr>
        <w:t>Vol</w:t>
      </w:r>
      <w:proofErr w:type="spellEnd"/>
      <w:r w:rsidRPr="00614B35">
        <w:rPr>
          <w:rFonts w:ascii="Times New Roman" w:hAnsi="Times New Roman" w:cs="Times New Roman"/>
          <w:sz w:val="28"/>
          <w:szCs w:val="28"/>
        </w:rPr>
        <w:t>. 117. P. 103–109. DOI: 10.1016/j.still.2011.09.004.</w:t>
      </w:r>
    </w:p>
    <w:p w14:paraId="43A867F8" w14:textId="77777777" w:rsidR="00614B35"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t>Molari</w:t>
      </w:r>
      <w:proofErr w:type="spellEnd"/>
      <w:r w:rsidRPr="00614B35">
        <w:rPr>
          <w:rFonts w:ascii="Times New Roman" w:hAnsi="Times New Roman" w:cs="Times New Roman"/>
          <w:sz w:val="28"/>
          <w:szCs w:val="28"/>
        </w:rPr>
        <w:t xml:space="preserve"> G., </w:t>
      </w:r>
      <w:proofErr w:type="spellStart"/>
      <w:r w:rsidRPr="00614B35">
        <w:rPr>
          <w:rFonts w:ascii="Times New Roman" w:hAnsi="Times New Roman" w:cs="Times New Roman"/>
          <w:sz w:val="28"/>
          <w:szCs w:val="28"/>
        </w:rPr>
        <w:t>Bellentani</w:t>
      </w:r>
      <w:proofErr w:type="spellEnd"/>
      <w:r w:rsidRPr="00614B35">
        <w:rPr>
          <w:rFonts w:ascii="Times New Roman" w:hAnsi="Times New Roman" w:cs="Times New Roman"/>
          <w:sz w:val="28"/>
          <w:szCs w:val="28"/>
        </w:rPr>
        <w:t xml:space="preserve"> L., </w:t>
      </w:r>
      <w:proofErr w:type="spellStart"/>
      <w:r w:rsidRPr="00614B35">
        <w:rPr>
          <w:rFonts w:ascii="Times New Roman" w:hAnsi="Times New Roman" w:cs="Times New Roman"/>
          <w:sz w:val="28"/>
          <w:szCs w:val="28"/>
        </w:rPr>
        <w:t>Guarnieri</w:t>
      </w:r>
      <w:proofErr w:type="spellEnd"/>
      <w:r w:rsidRPr="00614B35">
        <w:rPr>
          <w:rFonts w:ascii="Times New Roman" w:hAnsi="Times New Roman" w:cs="Times New Roman"/>
          <w:sz w:val="28"/>
          <w:szCs w:val="28"/>
        </w:rPr>
        <w:t xml:space="preserve"> A., </w:t>
      </w:r>
      <w:proofErr w:type="spellStart"/>
      <w:r w:rsidRPr="00614B35">
        <w:rPr>
          <w:rFonts w:ascii="Times New Roman" w:hAnsi="Times New Roman" w:cs="Times New Roman"/>
          <w:sz w:val="28"/>
          <w:szCs w:val="28"/>
        </w:rPr>
        <w:t>Walker</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Sedoni</w:t>
      </w:r>
      <w:proofErr w:type="spellEnd"/>
      <w:r w:rsidRPr="00614B35">
        <w:rPr>
          <w:rFonts w:ascii="Times New Roman" w:hAnsi="Times New Roman" w:cs="Times New Roman"/>
          <w:sz w:val="28"/>
          <w:szCs w:val="28"/>
        </w:rPr>
        <w:t xml:space="preserve"> E. </w:t>
      </w:r>
      <w:proofErr w:type="spellStart"/>
      <w:r w:rsidRPr="00614B35">
        <w:rPr>
          <w:rFonts w:ascii="Times New Roman" w:hAnsi="Times New Roman" w:cs="Times New Roman"/>
          <w:sz w:val="28"/>
          <w:szCs w:val="28"/>
        </w:rPr>
        <w:t>Performance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of</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agricultural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tractor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fitted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with</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rubber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tracks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Biosystems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Engineering</w:t>
      </w:r>
      <w:proofErr w:type="spellEnd"/>
      <w:r w:rsidRPr="00614B35">
        <w:rPr>
          <w:rFonts w:ascii="Times New Roman" w:hAnsi="Times New Roman" w:cs="Times New Roman"/>
          <w:sz w:val="28"/>
          <w:szCs w:val="28"/>
        </w:rPr>
        <w:t xml:space="preserve">. 2012. </w:t>
      </w:r>
      <w:proofErr w:type="spellStart"/>
      <w:r w:rsidRPr="00614B35">
        <w:rPr>
          <w:rFonts w:ascii="Times New Roman" w:hAnsi="Times New Roman" w:cs="Times New Roman"/>
          <w:sz w:val="28"/>
          <w:szCs w:val="28"/>
        </w:rPr>
        <w:t>Vol</w:t>
      </w:r>
      <w:proofErr w:type="spellEnd"/>
      <w:r w:rsidRPr="00614B35">
        <w:rPr>
          <w:rFonts w:ascii="Times New Roman" w:hAnsi="Times New Roman" w:cs="Times New Roman"/>
          <w:sz w:val="28"/>
          <w:szCs w:val="28"/>
        </w:rPr>
        <w:t xml:space="preserve">. 111, </w:t>
      </w:r>
      <w:proofErr w:type="spellStart"/>
      <w:r w:rsidRPr="00614B35">
        <w:rPr>
          <w:rFonts w:ascii="Times New Roman" w:hAnsi="Times New Roman" w:cs="Times New Roman"/>
          <w:sz w:val="28"/>
          <w:szCs w:val="28"/>
        </w:rPr>
        <w:t>No</w:t>
      </w:r>
      <w:proofErr w:type="spellEnd"/>
      <w:r w:rsidRPr="00614B35">
        <w:rPr>
          <w:rFonts w:ascii="Times New Roman" w:hAnsi="Times New Roman" w:cs="Times New Roman"/>
          <w:sz w:val="28"/>
          <w:szCs w:val="28"/>
        </w:rPr>
        <w:t>. 1. P. 57–63. DOI: 10.1016/j.biosystemseng.2011.10.008.</w:t>
      </w:r>
    </w:p>
    <w:p w14:paraId="37535E81" w14:textId="77777777" w:rsidR="00614B35"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t>Molari</w:t>
      </w:r>
      <w:proofErr w:type="spellEnd"/>
      <w:r w:rsidRPr="00614B35">
        <w:rPr>
          <w:rFonts w:ascii="Times New Roman" w:hAnsi="Times New Roman" w:cs="Times New Roman"/>
          <w:sz w:val="28"/>
          <w:szCs w:val="28"/>
        </w:rPr>
        <w:t xml:space="preserve"> G., </w:t>
      </w:r>
      <w:proofErr w:type="spellStart"/>
      <w:r w:rsidRPr="00614B35">
        <w:rPr>
          <w:rFonts w:ascii="Times New Roman" w:hAnsi="Times New Roman" w:cs="Times New Roman"/>
          <w:sz w:val="28"/>
          <w:szCs w:val="28"/>
        </w:rPr>
        <w:t>Mattetti</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Walker</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Field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performance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of</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agricultural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tractor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fitted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with</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rubber</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tracks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on</w:t>
      </w:r>
      <w:proofErr w:type="spellEnd"/>
      <w:r w:rsidRPr="00614B35">
        <w:rPr>
          <w:rFonts w:ascii="Times New Roman" w:hAnsi="Times New Roman" w:cs="Times New Roman"/>
          <w:sz w:val="28"/>
          <w:szCs w:val="28"/>
        </w:rPr>
        <w:t xml:space="preserve"> a </w:t>
      </w:r>
      <w:proofErr w:type="spellStart"/>
      <w:r w:rsidRPr="00614B35">
        <w:rPr>
          <w:rFonts w:ascii="Times New Roman" w:hAnsi="Times New Roman" w:cs="Times New Roman"/>
          <w:sz w:val="28"/>
          <w:szCs w:val="28"/>
        </w:rPr>
        <w:t>low</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trafficable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soil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Journal</w:t>
      </w:r>
      <w:proofErr w:type="spellEnd"/>
      <w:r w:rsidRPr="00614B35">
        <w:rPr>
          <w:rFonts w:ascii="Times New Roman" w:hAnsi="Times New Roman" w:cs="Times New Roman"/>
          <w:sz w:val="28"/>
          <w:szCs w:val="28"/>
        </w:rPr>
        <w:t xml:space="preserve"> of </w:t>
      </w:r>
      <w:proofErr w:type="spellStart"/>
      <w:r w:rsidRPr="00614B35">
        <w:rPr>
          <w:rFonts w:ascii="Times New Roman" w:hAnsi="Times New Roman" w:cs="Times New Roman"/>
          <w:sz w:val="28"/>
          <w:szCs w:val="28"/>
        </w:rPr>
        <w:t>Agricultural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Engineering</w:t>
      </w:r>
      <w:proofErr w:type="spellEnd"/>
      <w:r w:rsidRPr="00614B35">
        <w:rPr>
          <w:rFonts w:ascii="Times New Roman" w:hAnsi="Times New Roman" w:cs="Times New Roman"/>
          <w:sz w:val="28"/>
          <w:szCs w:val="28"/>
        </w:rPr>
        <w:t xml:space="preserve">. 2015. </w:t>
      </w:r>
      <w:proofErr w:type="spellStart"/>
      <w:r w:rsidRPr="00614B35">
        <w:rPr>
          <w:rFonts w:ascii="Times New Roman" w:hAnsi="Times New Roman" w:cs="Times New Roman"/>
          <w:sz w:val="28"/>
          <w:szCs w:val="28"/>
        </w:rPr>
        <w:t>Vol</w:t>
      </w:r>
      <w:proofErr w:type="spellEnd"/>
      <w:r w:rsidRPr="00614B35">
        <w:rPr>
          <w:rFonts w:ascii="Times New Roman" w:hAnsi="Times New Roman" w:cs="Times New Roman"/>
          <w:sz w:val="28"/>
          <w:szCs w:val="28"/>
        </w:rPr>
        <w:t xml:space="preserve">. 46, </w:t>
      </w:r>
      <w:proofErr w:type="spellStart"/>
      <w:r w:rsidRPr="00614B35">
        <w:rPr>
          <w:rFonts w:ascii="Times New Roman" w:hAnsi="Times New Roman" w:cs="Times New Roman"/>
          <w:sz w:val="28"/>
          <w:szCs w:val="28"/>
        </w:rPr>
        <w:t>No</w:t>
      </w:r>
      <w:proofErr w:type="spellEnd"/>
      <w:r w:rsidRPr="00614B35">
        <w:rPr>
          <w:rFonts w:ascii="Times New Roman" w:hAnsi="Times New Roman" w:cs="Times New Roman"/>
          <w:sz w:val="28"/>
          <w:szCs w:val="28"/>
        </w:rPr>
        <w:t>. 4. P. 162–166. DOI: 10.4081/jae.2015.477.</w:t>
      </w:r>
    </w:p>
    <w:p w14:paraId="77A6F0EF" w14:textId="2AEDD993" w:rsidR="0042298E" w:rsidRPr="00614B35" w:rsidRDefault="00614B35" w:rsidP="00540A82">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614B35">
        <w:rPr>
          <w:rFonts w:ascii="Times New Roman" w:hAnsi="Times New Roman" w:cs="Times New Roman"/>
          <w:sz w:val="28"/>
          <w:szCs w:val="28"/>
        </w:rPr>
        <w:t>Servadio</w:t>
      </w:r>
      <w:proofErr w:type="spellEnd"/>
      <w:r w:rsidRPr="00614B35">
        <w:rPr>
          <w:rFonts w:ascii="Times New Roman" w:hAnsi="Times New Roman" w:cs="Times New Roman"/>
          <w:sz w:val="28"/>
          <w:szCs w:val="28"/>
        </w:rPr>
        <w:t xml:space="preserve"> P., </w:t>
      </w:r>
      <w:proofErr w:type="spellStart"/>
      <w:r w:rsidRPr="00614B35">
        <w:rPr>
          <w:rFonts w:ascii="Times New Roman" w:hAnsi="Times New Roman" w:cs="Times New Roman"/>
          <w:sz w:val="28"/>
          <w:szCs w:val="28"/>
        </w:rPr>
        <w:t>Marsili</w:t>
      </w:r>
      <w:proofErr w:type="spellEnd"/>
      <w:r w:rsidRPr="00614B35">
        <w:rPr>
          <w:rFonts w:ascii="Times New Roman" w:hAnsi="Times New Roman" w:cs="Times New Roman"/>
          <w:sz w:val="28"/>
          <w:szCs w:val="28"/>
        </w:rPr>
        <w:t xml:space="preserve"> A., </w:t>
      </w:r>
      <w:proofErr w:type="spellStart"/>
      <w:r w:rsidRPr="00614B35">
        <w:rPr>
          <w:rFonts w:ascii="Times New Roman" w:hAnsi="Times New Roman" w:cs="Times New Roman"/>
          <w:sz w:val="28"/>
          <w:szCs w:val="28"/>
        </w:rPr>
        <w:t>Pagliai</w:t>
      </w:r>
      <w:proofErr w:type="spellEnd"/>
      <w:r w:rsidRPr="00614B35">
        <w:rPr>
          <w:rFonts w:ascii="Times New Roman" w:hAnsi="Times New Roman" w:cs="Times New Roman"/>
          <w:sz w:val="28"/>
          <w:szCs w:val="28"/>
        </w:rPr>
        <w:t xml:space="preserve"> M., </w:t>
      </w:r>
      <w:proofErr w:type="spellStart"/>
      <w:r w:rsidRPr="00614B35">
        <w:rPr>
          <w:rFonts w:ascii="Times New Roman" w:hAnsi="Times New Roman" w:cs="Times New Roman"/>
          <w:sz w:val="28"/>
          <w:szCs w:val="28"/>
        </w:rPr>
        <w:t>Pellegrini</w:t>
      </w:r>
      <w:proofErr w:type="spellEnd"/>
      <w:r w:rsidRPr="00614B35">
        <w:rPr>
          <w:rFonts w:ascii="Times New Roman" w:hAnsi="Times New Roman" w:cs="Times New Roman"/>
          <w:sz w:val="28"/>
          <w:szCs w:val="28"/>
        </w:rPr>
        <w:t xml:space="preserve"> S., </w:t>
      </w:r>
      <w:proofErr w:type="spellStart"/>
      <w:r w:rsidRPr="00614B35">
        <w:rPr>
          <w:rFonts w:ascii="Times New Roman" w:hAnsi="Times New Roman" w:cs="Times New Roman"/>
          <w:sz w:val="28"/>
          <w:szCs w:val="28"/>
        </w:rPr>
        <w:t>Vignozzi</w:t>
      </w:r>
      <w:proofErr w:type="spellEnd"/>
      <w:r w:rsidRPr="00614B35">
        <w:rPr>
          <w:rFonts w:ascii="Times New Roman" w:hAnsi="Times New Roman" w:cs="Times New Roman"/>
          <w:sz w:val="28"/>
          <w:szCs w:val="28"/>
        </w:rPr>
        <w:t xml:space="preserve"> N. </w:t>
      </w:r>
      <w:proofErr w:type="spellStart"/>
      <w:r w:rsidRPr="00614B35">
        <w:rPr>
          <w:rFonts w:ascii="Times New Roman" w:hAnsi="Times New Roman" w:cs="Times New Roman"/>
          <w:sz w:val="28"/>
          <w:szCs w:val="28"/>
        </w:rPr>
        <w:t>Effects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some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clay</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soil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qualities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following</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the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passage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of</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rubber-tracked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wheeled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tractors</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in</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central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Italy</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Soil</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and</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Tillage</w:t>
      </w:r>
      <w:proofErr w:type="spellEnd"/>
      <w:r w:rsidRPr="00614B35">
        <w:rPr>
          <w:rFonts w:ascii="Times New Roman" w:hAnsi="Times New Roman" w:cs="Times New Roman"/>
          <w:sz w:val="28"/>
          <w:szCs w:val="28"/>
        </w:rPr>
        <w:t xml:space="preserve"> </w:t>
      </w:r>
      <w:proofErr w:type="spellStart"/>
      <w:r w:rsidRPr="00614B35">
        <w:rPr>
          <w:rFonts w:ascii="Times New Roman" w:hAnsi="Times New Roman" w:cs="Times New Roman"/>
          <w:sz w:val="28"/>
          <w:szCs w:val="28"/>
        </w:rPr>
        <w:t>Research</w:t>
      </w:r>
      <w:proofErr w:type="spellEnd"/>
      <w:r w:rsidRPr="00614B35">
        <w:rPr>
          <w:rFonts w:ascii="Times New Roman" w:hAnsi="Times New Roman" w:cs="Times New Roman"/>
          <w:sz w:val="28"/>
          <w:szCs w:val="28"/>
        </w:rPr>
        <w:t xml:space="preserve">. 2001. </w:t>
      </w:r>
      <w:proofErr w:type="spellStart"/>
      <w:r w:rsidRPr="00614B35">
        <w:rPr>
          <w:rFonts w:ascii="Times New Roman" w:hAnsi="Times New Roman" w:cs="Times New Roman"/>
          <w:sz w:val="28"/>
          <w:szCs w:val="28"/>
        </w:rPr>
        <w:t>Vol</w:t>
      </w:r>
      <w:proofErr w:type="spellEnd"/>
      <w:r w:rsidRPr="00614B35">
        <w:rPr>
          <w:rFonts w:ascii="Times New Roman" w:hAnsi="Times New Roman" w:cs="Times New Roman"/>
          <w:sz w:val="28"/>
          <w:szCs w:val="28"/>
        </w:rPr>
        <w:t xml:space="preserve">. 61, </w:t>
      </w:r>
      <w:proofErr w:type="spellStart"/>
      <w:r w:rsidRPr="00614B35">
        <w:rPr>
          <w:rFonts w:ascii="Times New Roman" w:hAnsi="Times New Roman" w:cs="Times New Roman"/>
          <w:sz w:val="28"/>
          <w:szCs w:val="28"/>
        </w:rPr>
        <w:t>No</w:t>
      </w:r>
      <w:proofErr w:type="spellEnd"/>
      <w:r w:rsidRPr="00614B35">
        <w:rPr>
          <w:rFonts w:ascii="Times New Roman" w:hAnsi="Times New Roman" w:cs="Times New Roman"/>
          <w:sz w:val="28"/>
          <w:szCs w:val="28"/>
        </w:rPr>
        <w:t>. 3–4. P. 143–155. DOI: 10.1016/S0167-1987(01)00195-7.</w:t>
      </w:r>
    </w:p>
    <w:sectPr w:rsidR="0042298E" w:rsidRPr="00614B35" w:rsidSect="00433C3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624E0"/>
    <w:multiLevelType w:val="hybridMultilevel"/>
    <w:tmpl w:val="BE7E86B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441950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2E"/>
    <w:rsid w:val="00072FC1"/>
    <w:rsid w:val="000E0392"/>
    <w:rsid w:val="00314709"/>
    <w:rsid w:val="00414AE7"/>
    <w:rsid w:val="0042298E"/>
    <w:rsid w:val="00433C3F"/>
    <w:rsid w:val="00540A82"/>
    <w:rsid w:val="00595CB8"/>
    <w:rsid w:val="00614B35"/>
    <w:rsid w:val="00757A2E"/>
    <w:rsid w:val="00A06739"/>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FFAB2"/>
  <w15:chartTrackingRefBased/>
  <w15:docId w15:val="{0813537F-B395-4CB9-BD3D-AC2D08D3F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3C3F"/>
  </w:style>
  <w:style w:type="paragraph" w:styleId="1">
    <w:name w:val="heading 1"/>
    <w:basedOn w:val="a"/>
    <w:next w:val="a"/>
    <w:link w:val="10"/>
    <w:uiPriority w:val="9"/>
    <w:qFormat/>
    <w:rsid w:val="00757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7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7A2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7A2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7A2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7A2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7A2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7A2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7A2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A2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57A2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57A2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57A2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7A2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7A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7A2E"/>
    <w:rPr>
      <w:rFonts w:eastAsiaTheme="majorEastAsia" w:cstheme="majorBidi"/>
      <w:color w:val="595959" w:themeColor="text1" w:themeTint="A6"/>
    </w:rPr>
  </w:style>
  <w:style w:type="character" w:customStyle="1" w:styleId="80">
    <w:name w:val="Заголовок 8 Знак"/>
    <w:basedOn w:val="a0"/>
    <w:link w:val="8"/>
    <w:uiPriority w:val="9"/>
    <w:semiHidden/>
    <w:rsid w:val="00757A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7A2E"/>
    <w:rPr>
      <w:rFonts w:eastAsiaTheme="majorEastAsia" w:cstheme="majorBidi"/>
      <w:color w:val="272727" w:themeColor="text1" w:themeTint="D8"/>
    </w:rPr>
  </w:style>
  <w:style w:type="paragraph" w:styleId="a3">
    <w:name w:val="Title"/>
    <w:basedOn w:val="a"/>
    <w:next w:val="a"/>
    <w:link w:val="a4"/>
    <w:uiPriority w:val="10"/>
    <w:qFormat/>
    <w:rsid w:val="00757A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57A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7A2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57A2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57A2E"/>
    <w:pPr>
      <w:spacing w:before="160"/>
      <w:jc w:val="center"/>
    </w:pPr>
    <w:rPr>
      <w:i/>
      <w:iCs/>
      <w:color w:val="404040" w:themeColor="text1" w:themeTint="BF"/>
    </w:rPr>
  </w:style>
  <w:style w:type="character" w:customStyle="1" w:styleId="a8">
    <w:name w:val="Цитата Знак"/>
    <w:basedOn w:val="a0"/>
    <w:link w:val="a7"/>
    <w:uiPriority w:val="29"/>
    <w:rsid w:val="00757A2E"/>
    <w:rPr>
      <w:i/>
      <w:iCs/>
      <w:color w:val="404040" w:themeColor="text1" w:themeTint="BF"/>
    </w:rPr>
  </w:style>
  <w:style w:type="paragraph" w:styleId="a9">
    <w:name w:val="List Paragraph"/>
    <w:basedOn w:val="a"/>
    <w:uiPriority w:val="34"/>
    <w:qFormat/>
    <w:rsid w:val="00757A2E"/>
    <w:pPr>
      <w:ind w:left="720"/>
      <w:contextualSpacing/>
    </w:pPr>
  </w:style>
  <w:style w:type="character" w:styleId="aa">
    <w:name w:val="Intense Emphasis"/>
    <w:basedOn w:val="a0"/>
    <w:uiPriority w:val="21"/>
    <w:qFormat/>
    <w:rsid w:val="00757A2E"/>
    <w:rPr>
      <w:i/>
      <w:iCs/>
      <w:color w:val="0F4761" w:themeColor="accent1" w:themeShade="BF"/>
    </w:rPr>
  </w:style>
  <w:style w:type="paragraph" w:styleId="ab">
    <w:name w:val="Intense Quote"/>
    <w:basedOn w:val="a"/>
    <w:next w:val="a"/>
    <w:link w:val="ac"/>
    <w:uiPriority w:val="30"/>
    <w:qFormat/>
    <w:rsid w:val="00757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57A2E"/>
    <w:rPr>
      <w:i/>
      <w:iCs/>
      <w:color w:val="0F4761" w:themeColor="accent1" w:themeShade="BF"/>
    </w:rPr>
  </w:style>
  <w:style w:type="character" w:styleId="ad">
    <w:name w:val="Intense Reference"/>
    <w:basedOn w:val="a0"/>
    <w:uiPriority w:val="32"/>
    <w:qFormat/>
    <w:rsid w:val="00757A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7263</Words>
  <Characters>4141</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2026-10-05T14:42:00Z</dcterms:created>
  <dcterms:modified xsi:type="dcterms:W3CDTF">2026-10-05T14:42:00Z</dcterms:modified>
</cp:coreProperties>
</file>