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6332E" w14:textId="612016AA" w:rsidR="00C82116" w:rsidRPr="000E1174" w:rsidRDefault="00C82116" w:rsidP="00341F8C">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Pr="00C82116">
        <w:rPr>
          <w:rFonts w:ascii="Times New Roman" w:hAnsi="Times New Roman" w:cs="Times New Roman"/>
          <w:sz w:val="28"/>
          <w:szCs w:val="28"/>
        </w:rPr>
        <w:t>636.085.55:631.363</w:t>
      </w:r>
    </w:p>
    <w:p w14:paraId="1D6630CC" w14:textId="77777777" w:rsidR="00C82116" w:rsidRPr="000E1174" w:rsidRDefault="00C82116" w:rsidP="00341F8C">
      <w:pPr>
        <w:spacing w:after="0" w:line="276" w:lineRule="auto"/>
        <w:rPr>
          <w:rFonts w:ascii="Times New Roman" w:hAnsi="Times New Roman" w:cs="Times New Roman"/>
          <w:sz w:val="28"/>
          <w:szCs w:val="28"/>
        </w:rPr>
      </w:pPr>
    </w:p>
    <w:p w14:paraId="3F7CADDE" w14:textId="7BE333B8" w:rsidR="00C82116" w:rsidRDefault="00C82116" w:rsidP="00341F8C">
      <w:pPr>
        <w:spacing w:after="0" w:line="276" w:lineRule="auto"/>
        <w:jc w:val="center"/>
        <w:rPr>
          <w:rFonts w:ascii="Times New Roman" w:hAnsi="Times New Roman" w:cs="Times New Roman"/>
          <w:b/>
          <w:bCs/>
          <w:sz w:val="28"/>
          <w:szCs w:val="28"/>
        </w:rPr>
      </w:pPr>
      <w:r w:rsidRPr="00C82116">
        <w:rPr>
          <w:rFonts w:ascii="Times New Roman" w:hAnsi="Times New Roman" w:cs="Times New Roman"/>
          <w:b/>
          <w:bCs/>
          <w:sz w:val="28"/>
          <w:szCs w:val="28"/>
        </w:rPr>
        <w:t>ОБҐРУНТУВАННЯ ШЛЯХІВ ПІДВИЩЕННЯ ЕФЕКТИВНОСТІ ТЕХНОЛОГІЧНОГО ПРОЦЕСУ ПРИГОТУВАННЯ КОМБІКОРМІВ</w:t>
      </w:r>
    </w:p>
    <w:p w14:paraId="0FA7B917" w14:textId="77777777" w:rsidR="00C82116" w:rsidRDefault="00C82116" w:rsidP="00341F8C">
      <w:pPr>
        <w:spacing w:after="0" w:line="276" w:lineRule="auto"/>
        <w:jc w:val="center"/>
        <w:rPr>
          <w:rFonts w:ascii="Times New Roman" w:hAnsi="Times New Roman" w:cs="Times New Roman"/>
          <w:sz w:val="28"/>
          <w:szCs w:val="28"/>
        </w:rPr>
      </w:pPr>
    </w:p>
    <w:p w14:paraId="2D26F730" w14:textId="3005927B" w:rsidR="00C82116" w:rsidRDefault="00C82116" w:rsidP="00341F8C">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Дерев’янко Д.А.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r>
        <w:rPr>
          <w:rFonts w:ascii="Times New Roman" w:hAnsi="Times New Roman" w:cs="Times New Roman"/>
          <w:b/>
          <w:bCs/>
          <w:sz w:val="28"/>
          <w:szCs w:val="28"/>
        </w:rPr>
        <w:t xml:space="preserve">Боженко О.С. </w:t>
      </w:r>
      <w:r>
        <w:rPr>
          <w:rFonts w:ascii="Times New Roman" w:hAnsi="Times New Roman" w:cs="Times New Roman"/>
          <w:sz w:val="28"/>
          <w:szCs w:val="28"/>
        </w:rPr>
        <w:t>здобувач освіти</w:t>
      </w:r>
    </w:p>
    <w:p w14:paraId="4AE5C899" w14:textId="77777777" w:rsidR="00C82116" w:rsidRPr="00341F8C" w:rsidRDefault="00C82116" w:rsidP="00341F8C">
      <w:pPr>
        <w:spacing w:after="0" w:line="276" w:lineRule="auto"/>
        <w:jc w:val="center"/>
        <w:rPr>
          <w:rFonts w:ascii="Times New Roman" w:hAnsi="Times New Roman" w:cs="Times New Roman"/>
          <w:i/>
          <w:iCs/>
          <w:sz w:val="28"/>
          <w:szCs w:val="28"/>
        </w:rPr>
      </w:pPr>
      <w:r w:rsidRPr="00341F8C">
        <w:rPr>
          <w:rFonts w:ascii="Times New Roman" w:hAnsi="Times New Roman" w:cs="Times New Roman"/>
          <w:i/>
          <w:iCs/>
          <w:sz w:val="28"/>
          <w:szCs w:val="28"/>
        </w:rPr>
        <w:t>Поліський національний університет, м. Житомир</w:t>
      </w:r>
    </w:p>
    <w:p w14:paraId="7B154BD0" w14:textId="77777777" w:rsidR="00C82116" w:rsidRDefault="00C82116" w:rsidP="00341F8C">
      <w:pPr>
        <w:spacing w:after="0" w:line="276" w:lineRule="auto"/>
        <w:jc w:val="center"/>
        <w:rPr>
          <w:rFonts w:ascii="Times New Roman" w:hAnsi="Times New Roman" w:cs="Times New Roman"/>
          <w:sz w:val="28"/>
          <w:szCs w:val="28"/>
        </w:rPr>
      </w:pPr>
    </w:p>
    <w:p w14:paraId="2AD92AD4"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Сучасне тваринництво значною мірою залежить від якості та собівартості кормів, а ефективність приготування комбікормів безпосередньо впливає на економічні показники виробництва продукції тваринництва. Технологічний процес виготовлення комбікормів являє собою складну послідовність взаємопов’язаних операцій, що включає приймання і зберігання сировини, очищення, дозування, подрібнення, змішування, введення рідких та </w:t>
      </w:r>
      <w:proofErr w:type="spellStart"/>
      <w:r w:rsidRPr="00C82116">
        <w:rPr>
          <w:rFonts w:ascii="Times New Roman" w:hAnsi="Times New Roman" w:cs="Times New Roman"/>
          <w:sz w:val="28"/>
          <w:szCs w:val="28"/>
        </w:rPr>
        <w:t>мікрокомпонентів</w:t>
      </w:r>
      <w:proofErr w:type="spellEnd"/>
      <w:r w:rsidRPr="00C82116">
        <w:rPr>
          <w:rFonts w:ascii="Times New Roman" w:hAnsi="Times New Roman" w:cs="Times New Roman"/>
          <w:sz w:val="28"/>
          <w:szCs w:val="28"/>
        </w:rPr>
        <w:t>, а за необхідності — кондиціювання, гранулювання, охолодження та подальше зберігання готового продукту. Відхилення параметрів навіть на одній із зазначених стадій може знижувати продуктивність усієї технологічної лінії, підвищувати питомі енерговитрати та погіршувати однорідність і якість готового комбікорму. Відповідно до рекомендацій FAO та IFIF, ефективне комбікормове виробництво має поєднувати стабільність технологічних параметрів, контроль якості сировини, точність дозування, належну організацію виробничого процесу та забезпечення безпечності готових кормів [1].</w:t>
      </w:r>
    </w:p>
    <w:p w14:paraId="648F6EF1"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Однією з найбільш енергоємних операцій виробництва комбікормів є подрібнення зернових компонентів. При цьому прагнення максимально зменшити розміри частинок не завжди є технологічно й економічно виправданим. Надмірне подрібнення супроводжується збільшенням витрат електроенергії, зниженням продуктивності дробарок, підвищенням утворення пилу та інтенсивності зношування робочих органів. З іншого боку, надто великі частинки можуть негативно впливати на однорідність змішування та якість подальшого гранулювання. У роботі F. </w:t>
      </w:r>
      <w:proofErr w:type="spellStart"/>
      <w:r w:rsidRPr="00C82116">
        <w:rPr>
          <w:rFonts w:ascii="Times New Roman" w:hAnsi="Times New Roman" w:cs="Times New Roman"/>
          <w:sz w:val="28"/>
          <w:szCs w:val="28"/>
        </w:rPr>
        <w:t>Lyu</w:t>
      </w:r>
      <w:proofErr w:type="spellEnd"/>
      <w:r w:rsidRPr="00C82116">
        <w:rPr>
          <w:rFonts w:ascii="Times New Roman" w:hAnsi="Times New Roman" w:cs="Times New Roman"/>
          <w:sz w:val="28"/>
          <w:szCs w:val="28"/>
        </w:rPr>
        <w:t xml:space="preserve"> та співавторів [2] показано, що вибір способу подрібнення, типу подрібнювача та гранулометричного складу продукту необхідно здійснювати з урахуванням виду сировини, подальшого технологічного процесу та вимог до кінцевого комбікорму. Доцільним є застосування молоткових, вальцьових або комбінованих схем подрібнення залежно від необхідної дисперсності корму.</w:t>
      </w:r>
    </w:p>
    <w:p w14:paraId="2D17D358"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Тому одним із основних резервів підвищення ефективності технологічного процесу є встановлення раціонального ступеня подрібнення, який забезпечує необхідні технологічні властивості суміші за мінімально можливих питомих </w:t>
      </w:r>
      <w:r w:rsidRPr="00C82116">
        <w:rPr>
          <w:rFonts w:ascii="Times New Roman" w:hAnsi="Times New Roman" w:cs="Times New Roman"/>
          <w:sz w:val="28"/>
          <w:szCs w:val="28"/>
        </w:rPr>
        <w:lastRenderedPageBreak/>
        <w:t xml:space="preserve">витрат енергії. Особливо важливим є контроль технічного стану молотків, решіт та інших робочих органів дробарки. Результати сучасних досліджень підтверджують, що продуктивність подрібнення залежить не тільки від частоти обертання ротора і розмірів отворів решета, а й від вологості сировини, подачі матеріалу, споживаної потужності та ступеня зношування робочих органів [5]. У виробничому дослідженні Y. </w:t>
      </w:r>
      <w:proofErr w:type="spellStart"/>
      <w:r w:rsidRPr="00C82116">
        <w:rPr>
          <w:rFonts w:ascii="Times New Roman" w:hAnsi="Times New Roman" w:cs="Times New Roman"/>
          <w:sz w:val="28"/>
          <w:szCs w:val="28"/>
        </w:rPr>
        <w:t>Castillo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Alvarez</w:t>
      </w:r>
      <w:proofErr w:type="spellEnd"/>
      <w:r w:rsidRPr="00C82116">
        <w:rPr>
          <w:rFonts w:ascii="Times New Roman" w:hAnsi="Times New Roman" w:cs="Times New Roman"/>
          <w:sz w:val="28"/>
          <w:szCs w:val="28"/>
        </w:rPr>
        <w:t xml:space="preserve"> та співавторів оптимізація режиму роботи молоткової дробарки дала змогу знизити витрати електроенергії на 18 %, або приблизно на 4 </w:t>
      </w:r>
      <w:proofErr w:type="spellStart"/>
      <w:r w:rsidRPr="00C82116">
        <w:rPr>
          <w:rFonts w:ascii="Times New Roman" w:hAnsi="Times New Roman" w:cs="Times New Roman"/>
          <w:sz w:val="28"/>
          <w:szCs w:val="28"/>
        </w:rPr>
        <w:t>кВт·год</w:t>
      </w:r>
      <w:proofErr w:type="spellEnd"/>
      <w:r w:rsidRPr="00C82116">
        <w:rPr>
          <w:rFonts w:ascii="Times New Roman" w:hAnsi="Times New Roman" w:cs="Times New Roman"/>
          <w:sz w:val="28"/>
          <w:szCs w:val="28"/>
        </w:rPr>
        <w:t>/т, одночасно підвищивши однорідність гранулометричного складу продукту [5]. Такі результати свідчать про перспективність переходу від роботи машин за постійними налаштуваннями до адаптивного керування їх режимами відповідно до властивостей конкретної сировини.</w:t>
      </w:r>
    </w:p>
    <w:p w14:paraId="3A845D1E" w14:textId="2D57C879"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Не менш важливими операціями є дозування та змішування компонентів. Ефективність змішування визначається не лише конструкцією змішувача, а й точністю попереднього дозування, порядком введення компонентів, ступенем заповнення робочої камери, гранулометричним складом і фізико-механічними властивостями компонентів, частотою обертання робочих органів та тривалістю процесу. A.C. </w:t>
      </w:r>
      <w:proofErr w:type="spellStart"/>
      <w:r w:rsidRPr="00C82116">
        <w:rPr>
          <w:rFonts w:ascii="Times New Roman" w:hAnsi="Times New Roman" w:cs="Times New Roman"/>
          <w:sz w:val="28"/>
          <w:szCs w:val="28"/>
        </w:rPr>
        <w:t>Fahrenholz</w:t>
      </w:r>
      <w:proofErr w:type="spellEnd"/>
      <w:r w:rsidRPr="00C82116">
        <w:rPr>
          <w:rFonts w:ascii="Times New Roman" w:hAnsi="Times New Roman" w:cs="Times New Roman"/>
          <w:sz w:val="28"/>
          <w:szCs w:val="28"/>
        </w:rPr>
        <w:t xml:space="preserve"> [3] зазначає, що якість змішування необхідно розглядати як результат функціонування всієї попередньої технологічної системи </w:t>
      </w:r>
      <w:r>
        <w:rPr>
          <w:rFonts w:ascii="Times New Roman" w:hAnsi="Times New Roman" w:cs="Times New Roman"/>
          <w:sz w:val="28"/>
          <w:szCs w:val="28"/>
        </w:rPr>
        <w:t>–</w:t>
      </w:r>
      <w:r w:rsidRPr="00C82116">
        <w:rPr>
          <w:rFonts w:ascii="Times New Roman" w:hAnsi="Times New Roman" w:cs="Times New Roman"/>
          <w:sz w:val="28"/>
          <w:szCs w:val="28"/>
        </w:rPr>
        <w:t xml:space="preserve"> приймання сировини, подрібнення, дозування та подачі компонентів. Надмірне збільшення часу змішування після досягнення необхідної однорідності не забезпечує пропорційного покращення якості, проте збільшує тривалість циклу, споживання електроенергії та зменшує пропускну здатність технологічної лінії.</w:t>
      </w:r>
    </w:p>
    <w:p w14:paraId="0E0884C5"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Однорідність комбікормової суміші доцільно контролювати за коефіцієнтом варіації концентрації контрольного компонента. У практиці комбікормового виробництва значення коефіцієнта варіації CV &lt; 10 % часто розглядається як показник достатньої однорідності суміші [6]. При цьому сучасні дослідження демонструють перспективність застосування спектроскопічних систем, зокрема технології </w:t>
      </w:r>
      <w:proofErr w:type="spellStart"/>
      <w:r w:rsidRPr="00C82116">
        <w:rPr>
          <w:rFonts w:ascii="Times New Roman" w:hAnsi="Times New Roman" w:cs="Times New Roman"/>
          <w:sz w:val="28"/>
          <w:szCs w:val="28"/>
        </w:rPr>
        <w:t>in-line</w:t>
      </w:r>
      <w:proofErr w:type="spellEnd"/>
      <w:r w:rsidRPr="00C82116">
        <w:rPr>
          <w:rFonts w:ascii="Times New Roman" w:hAnsi="Times New Roman" w:cs="Times New Roman"/>
          <w:sz w:val="28"/>
          <w:szCs w:val="28"/>
        </w:rPr>
        <w:t xml:space="preserve"> NIR, для оперативного контролю характеристик корму безпосередньо у виробничому потоці. Це створює передумови для визначення фактичного моменту досягнення необхідної однорідності та запобігання необґрунтованому збільшенню тривалості роботи змішувача [6].</w:t>
      </w:r>
    </w:p>
    <w:p w14:paraId="0A6BCBBD"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Результати українських досліджень також підтверджують ефективність оптимізації параметрів дозування і змішування. У розроблених Інститутом тваринництва НААН варіантах ресурсозберігаючих технологічних ліній точність вагового дозування становила 0,1 кг. При збільшенні частоти обертання </w:t>
      </w:r>
      <w:proofErr w:type="spellStart"/>
      <w:r w:rsidRPr="00C82116">
        <w:rPr>
          <w:rFonts w:ascii="Times New Roman" w:hAnsi="Times New Roman" w:cs="Times New Roman"/>
          <w:sz w:val="28"/>
          <w:szCs w:val="28"/>
        </w:rPr>
        <w:t>вала</w:t>
      </w:r>
      <w:proofErr w:type="spellEnd"/>
      <w:r w:rsidRPr="00C82116">
        <w:rPr>
          <w:rFonts w:ascii="Times New Roman" w:hAnsi="Times New Roman" w:cs="Times New Roman"/>
          <w:sz w:val="28"/>
          <w:szCs w:val="28"/>
        </w:rPr>
        <w:t xml:space="preserve"> дослідного змішувача з 30 до 46 хв⁻¹ якість змішування зростала приблизно з 95,18 до 96,1 % при тривалості процесу 1 хв [7]. Це свідчить, що раціональне </w:t>
      </w:r>
      <w:r w:rsidRPr="00C82116">
        <w:rPr>
          <w:rFonts w:ascii="Times New Roman" w:hAnsi="Times New Roman" w:cs="Times New Roman"/>
          <w:sz w:val="28"/>
          <w:szCs w:val="28"/>
        </w:rPr>
        <w:lastRenderedPageBreak/>
        <w:t>узгодження конструктивних і режимних параметрів змішувача може забезпечувати необхідну однорідність корму без невиправданого збільшення тривалості циклу.</w:t>
      </w:r>
    </w:p>
    <w:p w14:paraId="4B893CEB"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Важливим напрямом підвищення ефективності є також удосконалення кондиціювання та гранулювання комбікормів. Гранулювання забезпечує формування корму з більш стабільними фізичними властивостями, зменшує його розшарування та втрати під час транспортування і згодовування. Разом із тим ця операція потребує значних витрат енергії, а її ефективність залежить від гранулометричного складу суміші, вологості, температури, кількості введеної пари, тривалості кондиціювання та параметрів матриці гранулятора. M. </w:t>
      </w:r>
      <w:proofErr w:type="spellStart"/>
      <w:r w:rsidRPr="00C82116">
        <w:rPr>
          <w:rFonts w:ascii="Times New Roman" w:hAnsi="Times New Roman" w:cs="Times New Roman"/>
          <w:sz w:val="28"/>
          <w:szCs w:val="28"/>
        </w:rPr>
        <w:t>Thomas</w:t>
      </w:r>
      <w:proofErr w:type="spellEnd"/>
      <w:r w:rsidRPr="00C82116">
        <w:rPr>
          <w:rFonts w:ascii="Times New Roman" w:hAnsi="Times New Roman" w:cs="Times New Roman"/>
          <w:sz w:val="28"/>
          <w:szCs w:val="28"/>
        </w:rPr>
        <w:t xml:space="preserve"> та A. F. B. </w:t>
      </w:r>
      <w:proofErr w:type="spellStart"/>
      <w:r w:rsidRPr="00C82116">
        <w:rPr>
          <w:rFonts w:ascii="Times New Roman" w:hAnsi="Times New Roman" w:cs="Times New Roman"/>
          <w:sz w:val="28"/>
          <w:szCs w:val="28"/>
        </w:rPr>
        <w:t>van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der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Poel</w:t>
      </w:r>
      <w:proofErr w:type="spellEnd"/>
      <w:r w:rsidRPr="00C82116">
        <w:rPr>
          <w:rFonts w:ascii="Times New Roman" w:hAnsi="Times New Roman" w:cs="Times New Roman"/>
          <w:sz w:val="28"/>
          <w:szCs w:val="28"/>
        </w:rPr>
        <w:t xml:space="preserve"> [4] наголошують на необхідності одночасно враховувати фізичну міцність гранул і енергетичні витрати на їх формування. Процеси кондиціювання, пресування та охолодження повинні розглядатися як єдина технологічна система, оскільки кожна з цих операцій впливає на фізичні властивості готового продукту.</w:t>
      </w:r>
    </w:p>
    <w:p w14:paraId="005CC678" w14:textId="122D703E"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При цьому надмірне підвищення температури або тривалості гідротермічної обробки не можна вважати універсальним способом покращення гранул. Високі температурні навантаження можуть негативно впливати на термолабільні складові корму </w:t>
      </w:r>
      <w:r w:rsidR="004F7E44">
        <w:rPr>
          <w:rFonts w:ascii="Times New Roman" w:hAnsi="Times New Roman" w:cs="Times New Roman"/>
          <w:sz w:val="28"/>
          <w:szCs w:val="28"/>
        </w:rPr>
        <w:t>–</w:t>
      </w:r>
      <w:r w:rsidRPr="00C82116">
        <w:rPr>
          <w:rFonts w:ascii="Times New Roman" w:hAnsi="Times New Roman" w:cs="Times New Roman"/>
          <w:sz w:val="28"/>
          <w:szCs w:val="28"/>
        </w:rPr>
        <w:t xml:space="preserve"> окремі вітаміни, ферменти та амінокислоти. Сучасні дослідження процесу комбікормового виробництва показують необхідність пошуку компромісу між продуктивністю гранулятора, індексом міцності гранул, питомими енерговитратами та збереженням поживної цінності корму [8]. Важливими резервами є керування вологістю суміші перед гранулюванням, стабілізація параметрів пари та застосування систем введення частини рідких компонентів після гранулювання.</w:t>
      </w:r>
    </w:p>
    <w:p w14:paraId="02C49DC5"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Підвищення ефективності окремої машини не завжди приводить до відповідного збільшення продуктивності всієї лінії. Тому оптимізацію процесу приготування комбікормів доцільно здійснювати відповідно до принципу узгодження пропускної здатності технологічного обладнання. Продуктивність дробарок, дозаторів, змішувачів, транспортних пристроїв, грануляторів і охолоджувачів повинна бути взаємно узгодженою. Наявність обладнання зі значно меншою продуктивністю створює «вузьке місце», тоді як завищена встановлена потужність інших машин призводить до їх роботи при неповному завантаженні та збільшення питомого споживання електроенергії. У зв’язку з цим перспективним є застосування накопичувальних бункерів, раціонального резервування окремих операцій та керування матеріальними потоками відповідно до фактичної продуктивності обладнання.</w:t>
      </w:r>
    </w:p>
    <w:p w14:paraId="35C9B731"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Подальше підвищення ефективності комбікормового виробництва пов’язане з автоматизацією та </w:t>
      </w:r>
      <w:proofErr w:type="spellStart"/>
      <w:r w:rsidRPr="00C82116">
        <w:rPr>
          <w:rFonts w:ascii="Times New Roman" w:hAnsi="Times New Roman" w:cs="Times New Roman"/>
          <w:sz w:val="28"/>
          <w:szCs w:val="28"/>
        </w:rPr>
        <w:t>цифровізацією</w:t>
      </w:r>
      <w:proofErr w:type="spellEnd"/>
      <w:r w:rsidRPr="00C82116">
        <w:rPr>
          <w:rFonts w:ascii="Times New Roman" w:hAnsi="Times New Roman" w:cs="Times New Roman"/>
          <w:sz w:val="28"/>
          <w:szCs w:val="28"/>
        </w:rPr>
        <w:t xml:space="preserve"> технологічного процесу. Сучасна </w:t>
      </w:r>
      <w:r w:rsidRPr="00C82116">
        <w:rPr>
          <w:rFonts w:ascii="Times New Roman" w:hAnsi="Times New Roman" w:cs="Times New Roman"/>
          <w:sz w:val="28"/>
          <w:szCs w:val="28"/>
        </w:rPr>
        <w:lastRenderedPageBreak/>
        <w:t>технологічна лінія повинна забезпечувати автоматичне вагове дозування, контроль частоти обертання робочих органів, струмового навантаження електродвигунів, продуктивності, вологості та температури сировини, тривалості змішування, параметрів кондиціювання і гранулювання. Системи керування мають не лише реєструвати параметри, а й коригувати режими роботи машин відповідно до зміни фізико-механічних властивостей сировини. Огляд сучасних технологій комбікормового виробництва показує тенденцію до інтеграції датчиків, автоматизованих систем дозування, програмного керування, відстеження компонентів та безперервного контролю якості продукції [8].</w:t>
      </w:r>
    </w:p>
    <w:p w14:paraId="1E88206B"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Окремим резервом є впровадження </w:t>
      </w:r>
      <w:proofErr w:type="spellStart"/>
      <w:r w:rsidRPr="00C82116">
        <w:rPr>
          <w:rFonts w:ascii="Times New Roman" w:hAnsi="Times New Roman" w:cs="Times New Roman"/>
          <w:sz w:val="28"/>
          <w:szCs w:val="28"/>
        </w:rPr>
        <w:t>частотно</w:t>
      </w:r>
      <w:proofErr w:type="spellEnd"/>
      <w:r w:rsidRPr="00C82116">
        <w:rPr>
          <w:rFonts w:ascii="Times New Roman" w:hAnsi="Times New Roman" w:cs="Times New Roman"/>
          <w:sz w:val="28"/>
          <w:szCs w:val="28"/>
        </w:rPr>
        <w:t>-регульованого електроприводу, насамперед для дробарок, змішувачів, шнекових і стрічкових транспортерів. Регулювання частоти обертання відповідно до фактичного технологічного навантаження дає змогу уникати роботи електроприводів у нераціональних режимах. Одночасно необхідно впроваджувати систему планово-попереджувального та прогнозного технічного обслуговування. Контроль споживаної потужності, температури підшипникових вузлів, вібрації та стану робочих органів може використовуватися для своєчасного виявлення погіршення технічного стану машин. Особливого значення такий підхід набуває для молоткових дробарок, оскільки зношування молотків і решіт безпосередньо змінює їх продуктивність, гранулометричний склад продукту та питомі витрати електроенергії [5].</w:t>
      </w:r>
    </w:p>
    <w:p w14:paraId="15FE39F0"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Таким чином, підвищення ефективності технологічного процесу приготування комбікормів має базуватися на комплексному підході, а не на модернізації окремої технологічної операції. Основними напрямами є встановлення раціонального ступеня подрібнення компонентів; підтримання робочих органів дробарок у належному технічному стані; підвищення точності вагового дозування; оптимізація тривалості та режимів змішування; контроль однорідності суміші; оптимізація волого-теплових режимів кондиціювання й гранулювання; узгодження продуктивності обладнання технологічної лінії; використання </w:t>
      </w:r>
      <w:proofErr w:type="spellStart"/>
      <w:r w:rsidRPr="00C82116">
        <w:rPr>
          <w:rFonts w:ascii="Times New Roman" w:hAnsi="Times New Roman" w:cs="Times New Roman"/>
          <w:sz w:val="28"/>
          <w:szCs w:val="28"/>
        </w:rPr>
        <w:t>частотно</w:t>
      </w:r>
      <w:proofErr w:type="spellEnd"/>
      <w:r w:rsidRPr="00C82116">
        <w:rPr>
          <w:rFonts w:ascii="Times New Roman" w:hAnsi="Times New Roman" w:cs="Times New Roman"/>
          <w:sz w:val="28"/>
          <w:szCs w:val="28"/>
        </w:rPr>
        <w:t>-регульованих приводів; автоматизація матеріальних потоків та впровадження засобів оперативного контролю якості.</w:t>
      </w:r>
    </w:p>
    <w:p w14:paraId="35183C62" w14:textId="77777777" w:rsidR="00C82116" w:rsidRPr="00C82116" w:rsidRDefault="00C82116" w:rsidP="00341F8C">
      <w:pPr>
        <w:spacing w:after="0" w:line="276" w:lineRule="auto"/>
        <w:ind w:firstLine="709"/>
        <w:jc w:val="both"/>
        <w:rPr>
          <w:rFonts w:ascii="Times New Roman" w:hAnsi="Times New Roman" w:cs="Times New Roman"/>
          <w:sz w:val="28"/>
          <w:szCs w:val="28"/>
        </w:rPr>
      </w:pPr>
      <w:r w:rsidRPr="00C82116">
        <w:rPr>
          <w:rFonts w:ascii="Times New Roman" w:hAnsi="Times New Roman" w:cs="Times New Roman"/>
          <w:sz w:val="28"/>
          <w:szCs w:val="28"/>
        </w:rPr>
        <w:t xml:space="preserve">Реалізація зазначених заходів дає змогу одночасно підвищувати продуктивність технологічної лінії, знижувати питомі енерговитрати, зменшувати непродуктивні простої обладнання та забезпечувати стабільну якість готового комбікорму. Подальші дослідження доцільно спрямувати на створення адаптивних систем керування технологічною лінією, у яких режими подрібнення, дозування, змішування та гранулювання автоматично коригуватимуться залежно від властивостей сировини та фактичного навантаження обладнання. Такий підхід створює передумови для переходу від </w:t>
      </w:r>
      <w:r w:rsidRPr="00C82116">
        <w:rPr>
          <w:rFonts w:ascii="Times New Roman" w:hAnsi="Times New Roman" w:cs="Times New Roman"/>
          <w:sz w:val="28"/>
          <w:szCs w:val="28"/>
        </w:rPr>
        <w:lastRenderedPageBreak/>
        <w:t>локальної оптимізації окремих машин до комплексного ресурсозберігаючого керування процесом приготування комбікормів.</w:t>
      </w:r>
    </w:p>
    <w:p w14:paraId="7DD13F09" w14:textId="77777777" w:rsidR="00C82116" w:rsidRPr="00C82116" w:rsidRDefault="00C82116" w:rsidP="00341F8C">
      <w:pPr>
        <w:spacing w:after="0" w:line="276" w:lineRule="auto"/>
        <w:ind w:firstLine="709"/>
        <w:jc w:val="both"/>
        <w:rPr>
          <w:rFonts w:ascii="Times New Roman" w:hAnsi="Times New Roman" w:cs="Times New Roman"/>
          <w:sz w:val="28"/>
          <w:szCs w:val="28"/>
        </w:rPr>
      </w:pPr>
    </w:p>
    <w:p w14:paraId="5F6C2864" w14:textId="77777777" w:rsidR="00C82116" w:rsidRPr="00C82116" w:rsidRDefault="00C82116" w:rsidP="00341F8C">
      <w:pPr>
        <w:spacing w:after="0" w:line="276" w:lineRule="auto"/>
        <w:jc w:val="center"/>
        <w:rPr>
          <w:rFonts w:ascii="Times New Roman" w:hAnsi="Times New Roman" w:cs="Times New Roman"/>
          <w:b/>
          <w:bCs/>
          <w:sz w:val="28"/>
          <w:szCs w:val="28"/>
        </w:rPr>
      </w:pPr>
      <w:r w:rsidRPr="00C82116">
        <w:rPr>
          <w:rFonts w:ascii="Times New Roman" w:hAnsi="Times New Roman" w:cs="Times New Roman"/>
          <w:b/>
          <w:bCs/>
          <w:sz w:val="28"/>
          <w:szCs w:val="28"/>
        </w:rPr>
        <w:t>Список використаних джерел</w:t>
      </w:r>
    </w:p>
    <w:p w14:paraId="3408620D"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C82116">
        <w:rPr>
          <w:rFonts w:ascii="Times New Roman" w:hAnsi="Times New Roman" w:cs="Times New Roman"/>
          <w:sz w:val="28"/>
          <w:szCs w:val="28"/>
        </w:rPr>
        <w:t xml:space="preserve">FAO, IFIF. </w:t>
      </w:r>
      <w:proofErr w:type="spellStart"/>
      <w:r w:rsidRPr="00C82116">
        <w:rPr>
          <w:rFonts w:ascii="Times New Roman" w:hAnsi="Times New Roman" w:cs="Times New Roman"/>
          <w:sz w:val="28"/>
          <w:szCs w:val="28"/>
        </w:rPr>
        <w:t>Good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Practices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for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Sector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Implementing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Codex</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Alimentarius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Code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of</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Practice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Good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Animal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Rome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Food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Agriculture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Organization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of</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United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Nations</w:t>
      </w:r>
      <w:proofErr w:type="spellEnd"/>
      <w:r w:rsidRPr="00C82116">
        <w:rPr>
          <w:rFonts w:ascii="Times New Roman" w:hAnsi="Times New Roman" w:cs="Times New Roman"/>
          <w:sz w:val="28"/>
          <w:szCs w:val="28"/>
        </w:rPr>
        <w:t xml:space="preserve">, 2020. ISBN 978-92-5-133533-8. FAO — </w:t>
      </w:r>
      <w:proofErr w:type="spellStart"/>
      <w:r w:rsidRPr="00C82116">
        <w:rPr>
          <w:rFonts w:ascii="Times New Roman" w:hAnsi="Times New Roman" w:cs="Times New Roman"/>
          <w:sz w:val="28"/>
          <w:szCs w:val="28"/>
        </w:rPr>
        <w:t>Good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Practices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for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Sector</w:t>
      </w:r>
      <w:proofErr w:type="spellEnd"/>
    </w:p>
    <w:p w14:paraId="40A66583" w14:textId="77777777" w:rsidR="00C82116" w:rsidRPr="00C82116" w:rsidRDefault="00C82116" w:rsidP="00341F8C">
      <w:pPr>
        <w:spacing w:after="0" w:line="276" w:lineRule="auto"/>
        <w:ind w:firstLine="709"/>
        <w:jc w:val="both"/>
        <w:rPr>
          <w:rFonts w:ascii="Times New Roman" w:hAnsi="Times New Roman" w:cs="Times New Roman"/>
          <w:sz w:val="28"/>
          <w:szCs w:val="28"/>
        </w:rPr>
      </w:pPr>
    </w:p>
    <w:p w14:paraId="4A9135CB"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Lyu</w:t>
      </w:r>
      <w:proofErr w:type="spellEnd"/>
      <w:r w:rsidRPr="00C82116">
        <w:rPr>
          <w:rFonts w:ascii="Times New Roman" w:hAnsi="Times New Roman" w:cs="Times New Roman"/>
          <w:sz w:val="28"/>
          <w:szCs w:val="28"/>
        </w:rPr>
        <w:t xml:space="preserve"> F., </w:t>
      </w:r>
      <w:proofErr w:type="spellStart"/>
      <w:r w:rsidRPr="00C82116">
        <w:rPr>
          <w:rFonts w:ascii="Times New Roman" w:hAnsi="Times New Roman" w:cs="Times New Roman"/>
          <w:sz w:val="28"/>
          <w:szCs w:val="28"/>
        </w:rPr>
        <w:t>Thomas</w:t>
      </w:r>
      <w:proofErr w:type="spellEnd"/>
      <w:r w:rsidRPr="00C82116">
        <w:rPr>
          <w:rFonts w:ascii="Times New Roman" w:hAnsi="Times New Roman" w:cs="Times New Roman"/>
          <w:sz w:val="28"/>
          <w:szCs w:val="28"/>
        </w:rPr>
        <w:t xml:space="preserve"> M., </w:t>
      </w:r>
      <w:proofErr w:type="spellStart"/>
      <w:r w:rsidRPr="00C82116">
        <w:rPr>
          <w:rFonts w:ascii="Times New Roman" w:hAnsi="Times New Roman" w:cs="Times New Roman"/>
          <w:sz w:val="28"/>
          <w:szCs w:val="28"/>
        </w:rPr>
        <w:t>Hendriks</w:t>
      </w:r>
      <w:proofErr w:type="spellEnd"/>
      <w:r w:rsidRPr="00C82116">
        <w:rPr>
          <w:rFonts w:ascii="Times New Roman" w:hAnsi="Times New Roman" w:cs="Times New Roman"/>
          <w:sz w:val="28"/>
          <w:szCs w:val="28"/>
        </w:rPr>
        <w:t xml:space="preserve"> W. H., </w:t>
      </w:r>
      <w:proofErr w:type="spellStart"/>
      <w:r w:rsidRPr="00C82116">
        <w:rPr>
          <w:rFonts w:ascii="Times New Roman" w:hAnsi="Times New Roman" w:cs="Times New Roman"/>
          <w:sz w:val="28"/>
          <w:szCs w:val="28"/>
        </w:rPr>
        <w:t>van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der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Poel</w:t>
      </w:r>
      <w:proofErr w:type="spellEnd"/>
      <w:r w:rsidRPr="00C82116">
        <w:rPr>
          <w:rFonts w:ascii="Times New Roman" w:hAnsi="Times New Roman" w:cs="Times New Roman"/>
          <w:sz w:val="28"/>
          <w:szCs w:val="28"/>
        </w:rPr>
        <w:t xml:space="preserve"> A. F. B. </w:t>
      </w:r>
      <w:proofErr w:type="spellStart"/>
      <w:r w:rsidRPr="00C82116">
        <w:rPr>
          <w:rFonts w:ascii="Times New Roman" w:hAnsi="Times New Roman" w:cs="Times New Roman"/>
          <w:sz w:val="28"/>
          <w:szCs w:val="28"/>
        </w:rPr>
        <w:t>Size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reduction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technology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methods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for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determining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expressing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predicting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particle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size</w:t>
      </w:r>
      <w:proofErr w:type="spellEnd"/>
      <w:r w:rsidRPr="00C82116">
        <w:rPr>
          <w:rFonts w:ascii="Times New Roman" w:hAnsi="Times New Roman" w:cs="Times New Roman"/>
          <w:sz w:val="28"/>
          <w:szCs w:val="28"/>
        </w:rPr>
        <w:t xml:space="preserve">: A </w:t>
      </w:r>
      <w:proofErr w:type="spellStart"/>
      <w:r w:rsidRPr="00C82116">
        <w:rPr>
          <w:rFonts w:ascii="Times New Roman" w:hAnsi="Times New Roman" w:cs="Times New Roman"/>
          <w:sz w:val="28"/>
          <w:szCs w:val="28"/>
        </w:rPr>
        <w:t>review</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Animal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Science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Technology</w:t>
      </w:r>
      <w:proofErr w:type="spellEnd"/>
      <w:r w:rsidRPr="00C82116">
        <w:rPr>
          <w:rFonts w:ascii="Times New Roman" w:hAnsi="Times New Roman" w:cs="Times New Roman"/>
          <w:sz w:val="28"/>
          <w:szCs w:val="28"/>
        </w:rPr>
        <w:t xml:space="preserve">. 2020.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xml:space="preserve">. 261. </w:t>
      </w:r>
      <w:proofErr w:type="spellStart"/>
      <w:r w:rsidRPr="00C82116">
        <w:rPr>
          <w:rFonts w:ascii="Times New Roman" w:hAnsi="Times New Roman" w:cs="Times New Roman"/>
          <w:sz w:val="28"/>
          <w:szCs w:val="28"/>
        </w:rPr>
        <w:t>Article</w:t>
      </w:r>
      <w:proofErr w:type="spellEnd"/>
      <w:r w:rsidRPr="00C82116">
        <w:rPr>
          <w:rFonts w:ascii="Times New Roman" w:hAnsi="Times New Roman" w:cs="Times New Roman"/>
          <w:sz w:val="28"/>
          <w:szCs w:val="28"/>
        </w:rPr>
        <w:t xml:space="preserve"> 114347. DOI: 10.1016/j.anifeedsci.2019.114347. Стаття</w:t>
      </w:r>
    </w:p>
    <w:p w14:paraId="34115993"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Fahrenholz</w:t>
      </w:r>
      <w:proofErr w:type="spellEnd"/>
      <w:r w:rsidRPr="00C82116">
        <w:rPr>
          <w:rFonts w:ascii="Times New Roman" w:hAnsi="Times New Roman" w:cs="Times New Roman"/>
          <w:sz w:val="28"/>
          <w:szCs w:val="28"/>
        </w:rPr>
        <w:t xml:space="preserve"> A. C. </w:t>
      </w:r>
      <w:proofErr w:type="spellStart"/>
      <w:r w:rsidRPr="00C82116">
        <w:rPr>
          <w:rFonts w:ascii="Times New Roman" w:hAnsi="Times New Roman" w:cs="Times New Roman"/>
          <w:sz w:val="28"/>
          <w:szCs w:val="28"/>
        </w:rPr>
        <w:t>Best</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practices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Mixing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sampling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Animal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Science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Technology</w:t>
      </w:r>
      <w:proofErr w:type="spellEnd"/>
      <w:r w:rsidRPr="00C82116">
        <w:rPr>
          <w:rFonts w:ascii="Times New Roman" w:hAnsi="Times New Roman" w:cs="Times New Roman"/>
          <w:sz w:val="28"/>
          <w:szCs w:val="28"/>
        </w:rPr>
        <w:t xml:space="preserve">. 2019.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250. P. 51–52. DOI: 10.1016/j.anifeedsci.2018.09.017. Стаття</w:t>
      </w:r>
    </w:p>
    <w:p w14:paraId="3B02FFA1"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Thomas</w:t>
      </w:r>
      <w:proofErr w:type="spellEnd"/>
      <w:r w:rsidRPr="00C82116">
        <w:rPr>
          <w:rFonts w:ascii="Times New Roman" w:hAnsi="Times New Roman" w:cs="Times New Roman"/>
          <w:sz w:val="28"/>
          <w:szCs w:val="28"/>
        </w:rPr>
        <w:t xml:space="preserve"> M., </w:t>
      </w:r>
      <w:proofErr w:type="spellStart"/>
      <w:r w:rsidRPr="00C82116">
        <w:rPr>
          <w:rFonts w:ascii="Times New Roman" w:hAnsi="Times New Roman" w:cs="Times New Roman"/>
          <w:sz w:val="28"/>
          <w:szCs w:val="28"/>
        </w:rPr>
        <w:t>van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der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Poel</w:t>
      </w:r>
      <w:proofErr w:type="spellEnd"/>
      <w:r w:rsidRPr="00C82116">
        <w:rPr>
          <w:rFonts w:ascii="Times New Roman" w:hAnsi="Times New Roman" w:cs="Times New Roman"/>
          <w:sz w:val="28"/>
          <w:szCs w:val="28"/>
        </w:rPr>
        <w:t xml:space="preserve"> A. F. B. </w:t>
      </w:r>
      <w:proofErr w:type="spellStart"/>
      <w:r w:rsidRPr="00C82116">
        <w:rPr>
          <w:rFonts w:ascii="Times New Roman" w:hAnsi="Times New Roman" w:cs="Times New Roman"/>
          <w:sz w:val="28"/>
          <w:szCs w:val="28"/>
        </w:rPr>
        <w:t>Fundamental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factors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manufacturing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Towards</w:t>
      </w:r>
      <w:proofErr w:type="spellEnd"/>
      <w:r w:rsidRPr="00C82116">
        <w:rPr>
          <w:rFonts w:ascii="Times New Roman" w:hAnsi="Times New Roman" w:cs="Times New Roman"/>
          <w:sz w:val="28"/>
          <w:szCs w:val="28"/>
        </w:rPr>
        <w:t xml:space="preserve"> a </w:t>
      </w:r>
      <w:proofErr w:type="spellStart"/>
      <w:r w:rsidRPr="00C82116">
        <w:rPr>
          <w:rFonts w:ascii="Times New Roman" w:hAnsi="Times New Roman" w:cs="Times New Roman"/>
          <w:sz w:val="28"/>
          <w:szCs w:val="28"/>
        </w:rPr>
        <w:t>unifying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conditioning</w:t>
      </w:r>
      <w:proofErr w:type="spellEnd"/>
      <w:r w:rsidRPr="00C82116">
        <w:rPr>
          <w:rFonts w:ascii="Times New Roman" w:hAnsi="Times New Roman" w:cs="Times New Roman"/>
          <w:sz w:val="28"/>
          <w:szCs w:val="28"/>
        </w:rPr>
        <w:t>/</w:t>
      </w:r>
      <w:proofErr w:type="spellStart"/>
      <w:r w:rsidRPr="00C82116">
        <w:rPr>
          <w:rFonts w:ascii="Times New Roman" w:hAnsi="Times New Roman" w:cs="Times New Roman"/>
          <w:sz w:val="28"/>
          <w:szCs w:val="28"/>
        </w:rPr>
        <w:t>pelleting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framework</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Animal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Science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Technology</w:t>
      </w:r>
      <w:proofErr w:type="spellEnd"/>
      <w:r w:rsidRPr="00C82116">
        <w:rPr>
          <w:rFonts w:ascii="Times New Roman" w:hAnsi="Times New Roman" w:cs="Times New Roman"/>
          <w:sz w:val="28"/>
          <w:szCs w:val="28"/>
        </w:rPr>
        <w:t xml:space="preserve">. 2020.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xml:space="preserve">. 268. </w:t>
      </w:r>
      <w:proofErr w:type="spellStart"/>
      <w:r w:rsidRPr="00C82116">
        <w:rPr>
          <w:rFonts w:ascii="Times New Roman" w:hAnsi="Times New Roman" w:cs="Times New Roman"/>
          <w:sz w:val="28"/>
          <w:szCs w:val="28"/>
        </w:rPr>
        <w:t>Article</w:t>
      </w:r>
      <w:proofErr w:type="spellEnd"/>
      <w:r w:rsidRPr="00C82116">
        <w:rPr>
          <w:rFonts w:ascii="Times New Roman" w:hAnsi="Times New Roman" w:cs="Times New Roman"/>
          <w:sz w:val="28"/>
          <w:szCs w:val="28"/>
        </w:rPr>
        <w:t xml:space="preserve"> 114612. DOI: 10.1016/j.anifeedsci.2020.114612. Стаття</w:t>
      </w:r>
    </w:p>
    <w:p w14:paraId="3E61924C"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Castillo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Alvarez</w:t>
      </w:r>
      <w:proofErr w:type="spellEnd"/>
      <w:r w:rsidRPr="00C82116">
        <w:rPr>
          <w:rFonts w:ascii="Times New Roman" w:hAnsi="Times New Roman" w:cs="Times New Roman"/>
          <w:sz w:val="28"/>
          <w:szCs w:val="28"/>
        </w:rPr>
        <w:t xml:space="preserve"> Y., </w:t>
      </w:r>
      <w:proofErr w:type="spellStart"/>
      <w:r w:rsidRPr="00C82116">
        <w:rPr>
          <w:rFonts w:ascii="Times New Roman" w:hAnsi="Times New Roman" w:cs="Times New Roman"/>
          <w:sz w:val="28"/>
          <w:szCs w:val="28"/>
        </w:rPr>
        <w:t>Jiménez</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Borges</w:t>
      </w:r>
      <w:proofErr w:type="spellEnd"/>
      <w:r w:rsidRPr="00C82116">
        <w:rPr>
          <w:rFonts w:ascii="Times New Roman" w:hAnsi="Times New Roman" w:cs="Times New Roman"/>
          <w:sz w:val="28"/>
          <w:szCs w:val="28"/>
        </w:rPr>
        <w:t xml:space="preserve"> R., </w:t>
      </w:r>
      <w:proofErr w:type="spellStart"/>
      <w:r w:rsidRPr="00C82116">
        <w:rPr>
          <w:rFonts w:ascii="Times New Roman" w:hAnsi="Times New Roman" w:cs="Times New Roman"/>
          <w:sz w:val="28"/>
          <w:szCs w:val="28"/>
        </w:rPr>
        <w:t>Monteagudo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Yanes</w:t>
      </w:r>
      <w:proofErr w:type="spellEnd"/>
      <w:r w:rsidRPr="00C82116">
        <w:rPr>
          <w:rFonts w:ascii="Times New Roman" w:hAnsi="Times New Roman" w:cs="Times New Roman"/>
          <w:sz w:val="28"/>
          <w:szCs w:val="28"/>
        </w:rPr>
        <w:t xml:space="preserve"> J. P., </w:t>
      </w:r>
      <w:proofErr w:type="spellStart"/>
      <w:r w:rsidRPr="00C82116">
        <w:rPr>
          <w:rFonts w:ascii="Times New Roman" w:hAnsi="Times New Roman" w:cs="Times New Roman"/>
          <w:sz w:val="28"/>
          <w:szCs w:val="28"/>
        </w:rPr>
        <w:t>Rodríguez</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Pérez</w:t>
      </w:r>
      <w:proofErr w:type="spellEnd"/>
      <w:r w:rsidRPr="00C82116">
        <w:rPr>
          <w:rFonts w:ascii="Times New Roman" w:hAnsi="Times New Roman" w:cs="Times New Roman"/>
          <w:sz w:val="28"/>
          <w:szCs w:val="28"/>
        </w:rPr>
        <w:t xml:space="preserve"> B., </w:t>
      </w:r>
      <w:proofErr w:type="spellStart"/>
      <w:r w:rsidRPr="00C82116">
        <w:rPr>
          <w:rFonts w:ascii="Times New Roman" w:hAnsi="Times New Roman" w:cs="Times New Roman"/>
          <w:sz w:val="28"/>
          <w:szCs w:val="28"/>
        </w:rPr>
        <w:t>Patiño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Vidal</w:t>
      </w:r>
      <w:proofErr w:type="spellEnd"/>
      <w:r w:rsidRPr="00C82116">
        <w:rPr>
          <w:rFonts w:ascii="Times New Roman" w:hAnsi="Times New Roman" w:cs="Times New Roman"/>
          <w:sz w:val="28"/>
          <w:szCs w:val="28"/>
        </w:rPr>
        <w:t xml:space="preserve"> C. D., </w:t>
      </w:r>
      <w:proofErr w:type="spellStart"/>
      <w:r w:rsidRPr="00C82116">
        <w:rPr>
          <w:rFonts w:ascii="Times New Roman" w:hAnsi="Times New Roman" w:cs="Times New Roman"/>
          <w:sz w:val="28"/>
          <w:szCs w:val="28"/>
        </w:rPr>
        <w:t>Pfuyo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Muñoz</w:t>
      </w:r>
      <w:proofErr w:type="spellEnd"/>
      <w:r w:rsidRPr="00C82116">
        <w:rPr>
          <w:rFonts w:ascii="Times New Roman" w:hAnsi="Times New Roman" w:cs="Times New Roman"/>
          <w:sz w:val="28"/>
          <w:szCs w:val="28"/>
        </w:rPr>
        <w:t xml:space="preserve"> R. </w:t>
      </w:r>
      <w:proofErr w:type="spellStart"/>
      <w:r w:rsidRPr="00C82116">
        <w:rPr>
          <w:rFonts w:ascii="Times New Roman" w:hAnsi="Times New Roman" w:cs="Times New Roman"/>
          <w:sz w:val="28"/>
          <w:szCs w:val="28"/>
        </w:rPr>
        <w:t>Mathematical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Model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to</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Improve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Energy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Efficiency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Hammer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Mills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Its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Use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Industry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Analysis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Validation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a </w:t>
      </w:r>
      <w:proofErr w:type="spellStart"/>
      <w:r w:rsidRPr="00C82116">
        <w:rPr>
          <w:rFonts w:ascii="Times New Roman" w:hAnsi="Times New Roman" w:cs="Times New Roman"/>
          <w:sz w:val="28"/>
          <w:szCs w:val="28"/>
        </w:rPr>
        <w:t>Case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Study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Cuba</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Processes</w:t>
      </w:r>
      <w:proofErr w:type="spellEnd"/>
      <w:r w:rsidRPr="00C82116">
        <w:rPr>
          <w:rFonts w:ascii="Times New Roman" w:hAnsi="Times New Roman" w:cs="Times New Roman"/>
          <w:sz w:val="28"/>
          <w:szCs w:val="28"/>
        </w:rPr>
        <w:t xml:space="preserve">. 2025.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xml:space="preserve">. 13, </w:t>
      </w:r>
      <w:proofErr w:type="spellStart"/>
      <w:r w:rsidRPr="00C82116">
        <w:rPr>
          <w:rFonts w:ascii="Times New Roman" w:hAnsi="Times New Roman" w:cs="Times New Roman"/>
          <w:sz w:val="28"/>
          <w:szCs w:val="28"/>
        </w:rPr>
        <w:t>No</w:t>
      </w:r>
      <w:proofErr w:type="spellEnd"/>
      <w:r w:rsidRPr="00C82116">
        <w:rPr>
          <w:rFonts w:ascii="Times New Roman" w:hAnsi="Times New Roman" w:cs="Times New Roman"/>
          <w:sz w:val="28"/>
          <w:szCs w:val="28"/>
        </w:rPr>
        <w:t xml:space="preserve">. 5. </w:t>
      </w:r>
      <w:proofErr w:type="spellStart"/>
      <w:r w:rsidRPr="00C82116">
        <w:rPr>
          <w:rFonts w:ascii="Times New Roman" w:hAnsi="Times New Roman" w:cs="Times New Roman"/>
          <w:sz w:val="28"/>
          <w:szCs w:val="28"/>
        </w:rPr>
        <w:t>Article</w:t>
      </w:r>
      <w:proofErr w:type="spellEnd"/>
      <w:r w:rsidRPr="00C82116">
        <w:rPr>
          <w:rFonts w:ascii="Times New Roman" w:hAnsi="Times New Roman" w:cs="Times New Roman"/>
          <w:sz w:val="28"/>
          <w:szCs w:val="28"/>
        </w:rPr>
        <w:t xml:space="preserve"> 1523. DOI: 10.3390/pr13051523. Стаття</w:t>
      </w:r>
    </w:p>
    <w:p w14:paraId="7A747A12"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Rubio</w:t>
      </w:r>
      <w:proofErr w:type="spellEnd"/>
      <w:r w:rsidRPr="00C82116">
        <w:rPr>
          <w:rFonts w:ascii="Times New Roman" w:hAnsi="Times New Roman" w:cs="Times New Roman"/>
          <w:sz w:val="28"/>
          <w:szCs w:val="28"/>
        </w:rPr>
        <w:t xml:space="preserve"> A. A., </w:t>
      </w:r>
      <w:proofErr w:type="spellStart"/>
      <w:r w:rsidRPr="00C82116">
        <w:rPr>
          <w:rFonts w:ascii="Times New Roman" w:hAnsi="Times New Roman" w:cs="Times New Roman"/>
          <w:sz w:val="28"/>
          <w:szCs w:val="28"/>
        </w:rPr>
        <w:t>Conrad</w:t>
      </w:r>
      <w:proofErr w:type="spellEnd"/>
      <w:r w:rsidRPr="00C82116">
        <w:rPr>
          <w:rFonts w:ascii="Times New Roman" w:hAnsi="Times New Roman" w:cs="Times New Roman"/>
          <w:sz w:val="28"/>
          <w:szCs w:val="28"/>
        </w:rPr>
        <w:t xml:space="preserve"> S., </w:t>
      </w:r>
      <w:proofErr w:type="spellStart"/>
      <w:r w:rsidRPr="00C82116">
        <w:rPr>
          <w:rFonts w:ascii="Times New Roman" w:hAnsi="Times New Roman" w:cs="Times New Roman"/>
          <w:sz w:val="28"/>
          <w:szCs w:val="28"/>
        </w:rPr>
        <w:t>Juzaitis-Boelter</w:t>
      </w:r>
      <w:proofErr w:type="spellEnd"/>
      <w:r w:rsidRPr="00C82116">
        <w:rPr>
          <w:rFonts w:ascii="Times New Roman" w:hAnsi="Times New Roman" w:cs="Times New Roman"/>
          <w:sz w:val="28"/>
          <w:szCs w:val="28"/>
        </w:rPr>
        <w:t xml:space="preserve"> C., </w:t>
      </w:r>
      <w:proofErr w:type="spellStart"/>
      <w:r w:rsidRPr="00C82116">
        <w:rPr>
          <w:rFonts w:ascii="Times New Roman" w:hAnsi="Times New Roman" w:cs="Times New Roman"/>
          <w:sz w:val="28"/>
          <w:szCs w:val="28"/>
        </w:rPr>
        <w:t>Wishon</w:t>
      </w:r>
      <w:proofErr w:type="spellEnd"/>
      <w:r w:rsidRPr="00C82116">
        <w:rPr>
          <w:rFonts w:ascii="Times New Roman" w:hAnsi="Times New Roman" w:cs="Times New Roman"/>
          <w:sz w:val="28"/>
          <w:szCs w:val="28"/>
        </w:rPr>
        <w:t xml:space="preserve"> C. R., </w:t>
      </w:r>
      <w:proofErr w:type="spellStart"/>
      <w:r w:rsidRPr="00C82116">
        <w:rPr>
          <w:rFonts w:ascii="Times New Roman" w:hAnsi="Times New Roman" w:cs="Times New Roman"/>
          <w:sz w:val="28"/>
          <w:szCs w:val="28"/>
        </w:rPr>
        <w:t>Fahrenholz</w:t>
      </w:r>
      <w:proofErr w:type="spellEnd"/>
      <w:r w:rsidRPr="00C82116">
        <w:rPr>
          <w:rFonts w:ascii="Times New Roman" w:hAnsi="Times New Roman" w:cs="Times New Roman"/>
          <w:sz w:val="28"/>
          <w:szCs w:val="28"/>
        </w:rPr>
        <w:t xml:space="preserve"> A. C.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impact</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of</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marker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selection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in-line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near-infrared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spectroscopy</w:t>
      </w:r>
      <w:proofErr w:type="spellEnd"/>
      <w:r w:rsidRPr="00C82116">
        <w:rPr>
          <w:rFonts w:ascii="Times New Roman" w:hAnsi="Times New Roman" w:cs="Times New Roman"/>
          <w:sz w:val="28"/>
          <w:szCs w:val="28"/>
        </w:rPr>
        <w:t xml:space="preserve"> (NIR),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mix </w:t>
      </w:r>
      <w:proofErr w:type="spellStart"/>
      <w:r w:rsidRPr="00C82116">
        <w:rPr>
          <w:rFonts w:ascii="Times New Roman" w:hAnsi="Times New Roman" w:cs="Times New Roman"/>
          <w:sz w:val="28"/>
          <w:szCs w:val="28"/>
        </w:rPr>
        <w:t>time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coefficient</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of</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variation</w:t>
      </w:r>
      <w:proofErr w:type="spellEnd"/>
      <w:r w:rsidRPr="00C82116">
        <w:rPr>
          <w:rFonts w:ascii="Times New Roman" w:hAnsi="Times New Roman" w:cs="Times New Roman"/>
          <w:sz w:val="28"/>
          <w:szCs w:val="28"/>
        </w:rPr>
        <w:t xml:space="preserve"> (mix </w:t>
      </w:r>
      <w:proofErr w:type="spellStart"/>
      <w:r w:rsidRPr="00C82116">
        <w:rPr>
          <w:rFonts w:ascii="Times New Roman" w:hAnsi="Times New Roman" w:cs="Times New Roman"/>
          <w:sz w:val="28"/>
          <w:szCs w:val="28"/>
        </w:rPr>
        <w:t>uniformity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body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weight</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uniformity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broiler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growth</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performance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during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starter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grower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finisher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periods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Poultry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Science</w:t>
      </w:r>
      <w:proofErr w:type="spellEnd"/>
      <w:r w:rsidRPr="00C82116">
        <w:rPr>
          <w:rFonts w:ascii="Times New Roman" w:hAnsi="Times New Roman" w:cs="Times New Roman"/>
          <w:sz w:val="28"/>
          <w:szCs w:val="28"/>
        </w:rPr>
        <w:t xml:space="preserve">. 2023.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xml:space="preserve">. 102, </w:t>
      </w:r>
      <w:proofErr w:type="spellStart"/>
      <w:r w:rsidRPr="00C82116">
        <w:rPr>
          <w:rFonts w:ascii="Times New Roman" w:hAnsi="Times New Roman" w:cs="Times New Roman"/>
          <w:sz w:val="28"/>
          <w:szCs w:val="28"/>
        </w:rPr>
        <w:t>No</w:t>
      </w:r>
      <w:proofErr w:type="spellEnd"/>
      <w:r w:rsidRPr="00C82116">
        <w:rPr>
          <w:rFonts w:ascii="Times New Roman" w:hAnsi="Times New Roman" w:cs="Times New Roman"/>
          <w:sz w:val="28"/>
          <w:szCs w:val="28"/>
        </w:rPr>
        <w:t xml:space="preserve">. 12. </w:t>
      </w:r>
      <w:proofErr w:type="spellStart"/>
      <w:r w:rsidRPr="00C82116">
        <w:rPr>
          <w:rFonts w:ascii="Times New Roman" w:hAnsi="Times New Roman" w:cs="Times New Roman"/>
          <w:sz w:val="28"/>
          <w:szCs w:val="28"/>
        </w:rPr>
        <w:t>Article</w:t>
      </w:r>
      <w:proofErr w:type="spellEnd"/>
      <w:r w:rsidRPr="00C82116">
        <w:rPr>
          <w:rFonts w:ascii="Times New Roman" w:hAnsi="Times New Roman" w:cs="Times New Roman"/>
          <w:sz w:val="28"/>
          <w:szCs w:val="28"/>
        </w:rPr>
        <w:t xml:space="preserve"> 103109. DOI: 10.1016/j.psj.2023.103109. Стаття</w:t>
      </w:r>
    </w:p>
    <w:p w14:paraId="6D560433" w14:textId="77777777"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C82116">
        <w:rPr>
          <w:rFonts w:ascii="Times New Roman" w:hAnsi="Times New Roman" w:cs="Times New Roman"/>
          <w:sz w:val="28"/>
          <w:szCs w:val="28"/>
        </w:rPr>
        <w:t>Інститут тваринництва НААН. Виробництво комбікормів в умовах господарств з навантаженим резервуванням дозування та змішування. Матеріали Інституту тваринництва НААН</w:t>
      </w:r>
    </w:p>
    <w:p w14:paraId="5B6C3EFA" w14:textId="55A904AF" w:rsidR="00C82116" w:rsidRPr="00C82116" w:rsidRDefault="00C82116" w:rsidP="00341F8C">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C82116">
        <w:rPr>
          <w:rFonts w:ascii="Times New Roman" w:hAnsi="Times New Roman" w:cs="Times New Roman"/>
          <w:sz w:val="28"/>
          <w:szCs w:val="28"/>
        </w:rPr>
        <w:t>Bergeron</w:t>
      </w:r>
      <w:proofErr w:type="spellEnd"/>
      <w:r w:rsidRPr="00C82116">
        <w:rPr>
          <w:rFonts w:ascii="Times New Roman" w:hAnsi="Times New Roman" w:cs="Times New Roman"/>
          <w:sz w:val="28"/>
          <w:szCs w:val="28"/>
        </w:rPr>
        <w:t xml:space="preserve"> A. N., </w:t>
      </w:r>
      <w:proofErr w:type="spellStart"/>
      <w:r w:rsidRPr="00C82116">
        <w:rPr>
          <w:rFonts w:ascii="Times New Roman" w:hAnsi="Times New Roman" w:cs="Times New Roman"/>
          <w:sz w:val="28"/>
          <w:szCs w:val="28"/>
        </w:rPr>
        <w:t>Stark</w:t>
      </w:r>
      <w:proofErr w:type="spellEnd"/>
      <w:r w:rsidRPr="00C82116">
        <w:rPr>
          <w:rFonts w:ascii="Times New Roman" w:hAnsi="Times New Roman" w:cs="Times New Roman"/>
          <w:sz w:val="28"/>
          <w:szCs w:val="28"/>
        </w:rPr>
        <w:t xml:space="preserve"> C., </w:t>
      </w:r>
      <w:proofErr w:type="spellStart"/>
      <w:r w:rsidRPr="00C82116">
        <w:rPr>
          <w:rFonts w:ascii="Times New Roman" w:hAnsi="Times New Roman" w:cs="Times New Roman"/>
          <w:sz w:val="28"/>
          <w:szCs w:val="28"/>
        </w:rPr>
        <w:t>Boney</w:t>
      </w:r>
      <w:proofErr w:type="spellEnd"/>
      <w:r w:rsidRPr="00C82116">
        <w:rPr>
          <w:rFonts w:ascii="Times New Roman" w:hAnsi="Times New Roman" w:cs="Times New Roman"/>
          <w:sz w:val="28"/>
          <w:szCs w:val="28"/>
        </w:rPr>
        <w:t xml:space="preserve"> J. W., </w:t>
      </w:r>
      <w:proofErr w:type="spellStart"/>
      <w:r w:rsidRPr="00C82116">
        <w:rPr>
          <w:rFonts w:ascii="Times New Roman" w:hAnsi="Times New Roman" w:cs="Times New Roman"/>
          <w:sz w:val="28"/>
          <w:szCs w:val="28"/>
        </w:rPr>
        <w:t>Goldsmith</w:t>
      </w:r>
      <w:proofErr w:type="spellEnd"/>
      <w:r w:rsidRPr="00C82116">
        <w:rPr>
          <w:rFonts w:ascii="Times New Roman" w:hAnsi="Times New Roman" w:cs="Times New Roman"/>
          <w:sz w:val="28"/>
          <w:szCs w:val="28"/>
        </w:rPr>
        <w:t xml:space="preserve"> T., </w:t>
      </w:r>
      <w:proofErr w:type="spellStart"/>
      <w:r w:rsidRPr="00C82116">
        <w:rPr>
          <w:rFonts w:ascii="Times New Roman" w:hAnsi="Times New Roman" w:cs="Times New Roman"/>
          <w:sz w:val="28"/>
          <w:szCs w:val="28"/>
        </w:rPr>
        <w:t>Pope</w:t>
      </w:r>
      <w:proofErr w:type="spellEnd"/>
      <w:r w:rsidRPr="00C82116">
        <w:rPr>
          <w:rFonts w:ascii="Times New Roman" w:hAnsi="Times New Roman" w:cs="Times New Roman"/>
          <w:sz w:val="28"/>
          <w:szCs w:val="28"/>
        </w:rPr>
        <w:t xml:space="preserve"> J. T., </w:t>
      </w:r>
      <w:proofErr w:type="spellStart"/>
      <w:r w:rsidRPr="00C82116">
        <w:rPr>
          <w:rFonts w:ascii="Times New Roman" w:hAnsi="Times New Roman" w:cs="Times New Roman"/>
          <w:sz w:val="28"/>
          <w:szCs w:val="28"/>
        </w:rPr>
        <w:t>Bradshaw</w:t>
      </w:r>
      <w:proofErr w:type="spellEnd"/>
      <w:r w:rsidRPr="00C82116">
        <w:rPr>
          <w:rFonts w:ascii="Times New Roman" w:hAnsi="Times New Roman" w:cs="Times New Roman"/>
          <w:sz w:val="28"/>
          <w:szCs w:val="28"/>
        </w:rPr>
        <w:t xml:space="preserve"> S., </w:t>
      </w:r>
      <w:proofErr w:type="spellStart"/>
      <w:r w:rsidRPr="00C82116">
        <w:rPr>
          <w:rFonts w:ascii="Times New Roman" w:hAnsi="Times New Roman" w:cs="Times New Roman"/>
          <w:sz w:val="28"/>
          <w:szCs w:val="28"/>
        </w:rPr>
        <w:t>Shirely</w:t>
      </w:r>
      <w:proofErr w:type="spellEnd"/>
      <w:r w:rsidRPr="00C82116">
        <w:rPr>
          <w:rFonts w:ascii="Times New Roman" w:hAnsi="Times New Roman" w:cs="Times New Roman"/>
          <w:sz w:val="28"/>
          <w:szCs w:val="28"/>
        </w:rPr>
        <w:t xml:space="preserve"> R. B.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feed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milling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process</w:t>
      </w:r>
      <w:proofErr w:type="spellEnd"/>
      <w:r w:rsidRPr="00C82116">
        <w:rPr>
          <w:rFonts w:ascii="Times New Roman" w:hAnsi="Times New Roman" w:cs="Times New Roman"/>
          <w:sz w:val="28"/>
          <w:szCs w:val="28"/>
        </w:rPr>
        <w:t xml:space="preserve">: A </w:t>
      </w:r>
      <w:proofErr w:type="spellStart"/>
      <w:r w:rsidRPr="00C82116">
        <w:rPr>
          <w:rFonts w:ascii="Times New Roman" w:hAnsi="Times New Roman" w:cs="Times New Roman"/>
          <w:sz w:val="28"/>
          <w:szCs w:val="28"/>
        </w:rPr>
        <w:t>focus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pelleting</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liquid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application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their</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effects</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animal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production</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Journal</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of</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Applied</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Poultry</w:t>
      </w:r>
      <w:proofErr w:type="spellEnd"/>
      <w:r w:rsidRPr="00C82116">
        <w:rPr>
          <w:rFonts w:ascii="Times New Roman" w:hAnsi="Times New Roman" w:cs="Times New Roman"/>
          <w:sz w:val="28"/>
          <w:szCs w:val="28"/>
        </w:rPr>
        <w:t xml:space="preserve"> </w:t>
      </w:r>
      <w:proofErr w:type="spellStart"/>
      <w:r w:rsidRPr="00C82116">
        <w:rPr>
          <w:rFonts w:ascii="Times New Roman" w:hAnsi="Times New Roman" w:cs="Times New Roman"/>
          <w:sz w:val="28"/>
          <w:szCs w:val="28"/>
        </w:rPr>
        <w:t>Research</w:t>
      </w:r>
      <w:proofErr w:type="spellEnd"/>
      <w:r w:rsidRPr="00C82116">
        <w:rPr>
          <w:rFonts w:ascii="Times New Roman" w:hAnsi="Times New Roman" w:cs="Times New Roman"/>
          <w:sz w:val="28"/>
          <w:szCs w:val="28"/>
        </w:rPr>
        <w:t xml:space="preserve">. 2026. </w:t>
      </w:r>
      <w:proofErr w:type="spellStart"/>
      <w:r w:rsidRPr="00C82116">
        <w:rPr>
          <w:rFonts w:ascii="Times New Roman" w:hAnsi="Times New Roman" w:cs="Times New Roman"/>
          <w:sz w:val="28"/>
          <w:szCs w:val="28"/>
        </w:rPr>
        <w:t>Vol</w:t>
      </w:r>
      <w:proofErr w:type="spellEnd"/>
      <w:r w:rsidRPr="00C82116">
        <w:rPr>
          <w:rFonts w:ascii="Times New Roman" w:hAnsi="Times New Roman" w:cs="Times New Roman"/>
          <w:sz w:val="28"/>
          <w:szCs w:val="28"/>
        </w:rPr>
        <w:t xml:space="preserve">. 35, </w:t>
      </w:r>
      <w:proofErr w:type="spellStart"/>
      <w:r w:rsidRPr="00C82116">
        <w:rPr>
          <w:rFonts w:ascii="Times New Roman" w:hAnsi="Times New Roman" w:cs="Times New Roman"/>
          <w:sz w:val="28"/>
          <w:szCs w:val="28"/>
        </w:rPr>
        <w:t>No</w:t>
      </w:r>
      <w:proofErr w:type="spellEnd"/>
      <w:r w:rsidRPr="00C82116">
        <w:rPr>
          <w:rFonts w:ascii="Times New Roman" w:hAnsi="Times New Roman" w:cs="Times New Roman"/>
          <w:sz w:val="28"/>
          <w:szCs w:val="28"/>
        </w:rPr>
        <w:t xml:space="preserve">. 3. </w:t>
      </w:r>
      <w:proofErr w:type="spellStart"/>
      <w:r w:rsidRPr="00C82116">
        <w:rPr>
          <w:rFonts w:ascii="Times New Roman" w:hAnsi="Times New Roman" w:cs="Times New Roman"/>
          <w:sz w:val="28"/>
          <w:szCs w:val="28"/>
        </w:rPr>
        <w:t>Article</w:t>
      </w:r>
      <w:proofErr w:type="spellEnd"/>
      <w:r w:rsidRPr="00C82116">
        <w:rPr>
          <w:rFonts w:ascii="Times New Roman" w:hAnsi="Times New Roman" w:cs="Times New Roman"/>
          <w:sz w:val="28"/>
          <w:szCs w:val="28"/>
        </w:rPr>
        <w:t xml:space="preserve"> 100705. DOI: 10.1016/j.japr.2026.100705. Стаття</w:t>
      </w:r>
    </w:p>
    <w:p w14:paraId="6C1AB482" w14:textId="77777777" w:rsidR="00C82116" w:rsidRDefault="00C82116" w:rsidP="00341F8C">
      <w:pPr>
        <w:spacing w:after="0" w:line="276" w:lineRule="auto"/>
        <w:ind w:firstLine="709"/>
        <w:jc w:val="center"/>
        <w:rPr>
          <w:rFonts w:ascii="Times New Roman" w:hAnsi="Times New Roman" w:cs="Times New Roman"/>
          <w:sz w:val="28"/>
          <w:szCs w:val="28"/>
        </w:rPr>
      </w:pPr>
    </w:p>
    <w:p w14:paraId="2D7526AE" w14:textId="77777777" w:rsidR="0042298E" w:rsidRDefault="0042298E" w:rsidP="00341F8C">
      <w:pPr>
        <w:spacing w:after="0" w:line="276" w:lineRule="auto"/>
        <w:ind w:firstLine="709"/>
      </w:pPr>
    </w:p>
    <w:sectPr w:rsidR="0042298E" w:rsidSect="00C8211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D1615"/>
    <w:multiLevelType w:val="hybridMultilevel"/>
    <w:tmpl w:val="A9D262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44556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CE"/>
    <w:rsid w:val="00341F8C"/>
    <w:rsid w:val="00414AE7"/>
    <w:rsid w:val="0042298E"/>
    <w:rsid w:val="004F7E44"/>
    <w:rsid w:val="005943CE"/>
    <w:rsid w:val="00595CB8"/>
    <w:rsid w:val="00674D0D"/>
    <w:rsid w:val="006E06D6"/>
    <w:rsid w:val="00B82504"/>
    <w:rsid w:val="00C82116"/>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D7F74"/>
  <w15:chartTrackingRefBased/>
  <w15:docId w15:val="{E1D8ACB2-F258-48B2-953D-1E414E25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116"/>
  </w:style>
  <w:style w:type="paragraph" w:styleId="1">
    <w:name w:val="heading 1"/>
    <w:basedOn w:val="a"/>
    <w:next w:val="a"/>
    <w:link w:val="10"/>
    <w:uiPriority w:val="9"/>
    <w:qFormat/>
    <w:rsid w:val="00594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94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943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943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943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943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43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43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43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43C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943C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943C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943C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943C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943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43CE"/>
    <w:rPr>
      <w:rFonts w:eastAsiaTheme="majorEastAsia" w:cstheme="majorBidi"/>
      <w:color w:val="595959" w:themeColor="text1" w:themeTint="A6"/>
    </w:rPr>
  </w:style>
  <w:style w:type="character" w:customStyle="1" w:styleId="80">
    <w:name w:val="Заголовок 8 Знак"/>
    <w:basedOn w:val="a0"/>
    <w:link w:val="8"/>
    <w:uiPriority w:val="9"/>
    <w:semiHidden/>
    <w:rsid w:val="005943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43CE"/>
    <w:rPr>
      <w:rFonts w:eastAsiaTheme="majorEastAsia" w:cstheme="majorBidi"/>
      <w:color w:val="272727" w:themeColor="text1" w:themeTint="D8"/>
    </w:rPr>
  </w:style>
  <w:style w:type="paragraph" w:styleId="a3">
    <w:name w:val="Title"/>
    <w:basedOn w:val="a"/>
    <w:next w:val="a"/>
    <w:link w:val="a4"/>
    <w:uiPriority w:val="10"/>
    <w:qFormat/>
    <w:rsid w:val="00594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943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43C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943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943CE"/>
    <w:pPr>
      <w:spacing w:before="160"/>
      <w:jc w:val="center"/>
    </w:pPr>
    <w:rPr>
      <w:i/>
      <w:iCs/>
      <w:color w:val="404040" w:themeColor="text1" w:themeTint="BF"/>
    </w:rPr>
  </w:style>
  <w:style w:type="character" w:customStyle="1" w:styleId="a8">
    <w:name w:val="Цитата Знак"/>
    <w:basedOn w:val="a0"/>
    <w:link w:val="a7"/>
    <w:uiPriority w:val="29"/>
    <w:rsid w:val="005943CE"/>
    <w:rPr>
      <w:i/>
      <w:iCs/>
      <w:color w:val="404040" w:themeColor="text1" w:themeTint="BF"/>
    </w:rPr>
  </w:style>
  <w:style w:type="paragraph" w:styleId="a9">
    <w:name w:val="List Paragraph"/>
    <w:basedOn w:val="a"/>
    <w:uiPriority w:val="34"/>
    <w:qFormat/>
    <w:rsid w:val="005943CE"/>
    <w:pPr>
      <w:ind w:left="720"/>
      <w:contextualSpacing/>
    </w:pPr>
  </w:style>
  <w:style w:type="character" w:styleId="aa">
    <w:name w:val="Intense Emphasis"/>
    <w:basedOn w:val="a0"/>
    <w:uiPriority w:val="21"/>
    <w:qFormat/>
    <w:rsid w:val="005943CE"/>
    <w:rPr>
      <w:i/>
      <w:iCs/>
      <w:color w:val="0F4761" w:themeColor="accent1" w:themeShade="BF"/>
    </w:rPr>
  </w:style>
  <w:style w:type="paragraph" w:styleId="ab">
    <w:name w:val="Intense Quote"/>
    <w:basedOn w:val="a"/>
    <w:next w:val="a"/>
    <w:link w:val="ac"/>
    <w:uiPriority w:val="30"/>
    <w:qFormat/>
    <w:rsid w:val="00594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943CE"/>
    <w:rPr>
      <w:i/>
      <w:iCs/>
      <w:color w:val="0F4761" w:themeColor="accent1" w:themeShade="BF"/>
    </w:rPr>
  </w:style>
  <w:style w:type="character" w:styleId="ad">
    <w:name w:val="Intense Reference"/>
    <w:basedOn w:val="a0"/>
    <w:uiPriority w:val="32"/>
    <w:qFormat/>
    <w:rsid w:val="005943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8112</Words>
  <Characters>4625</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3</cp:revision>
  <dcterms:created xsi:type="dcterms:W3CDTF">2026-10-05T14:37:00Z</dcterms:created>
  <dcterms:modified xsi:type="dcterms:W3CDTF">2026-10-05T14:37:00Z</dcterms:modified>
</cp:coreProperties>
</file>