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80EB7" w14:textId="5588DF7F" w:rsidR="00923A1E" w:rsidRDefault="00923A1E" w:rsidP="00B90A7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23A1E">
        <w:rPr>
          <w:rFonts w:ascii="Times New Roman" w:hAnsi="Times New Roman" w:cs="Times New Roman"/>
          <w:sz w:val="28"/>
          <w:szCs w:val="28"/>
        </w:rPr>
        <w:t>УДК 631.22:620.92</w:t>
      </w:r>
    </w:p>
    <w:p w14:paraId="7EF2F0E3" w14:textId="491027EE" w:rsidR="00923A1E" w:rsidRDefault="00923A1E" w:rsidP="00B90A7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5B499" w14:textId="77777777" w:rsidR="00923A1E" w:rsidRDefault="00923A1E" w:rsidP="00B90A71">
      <w:pPr>
        <w:spacing w:after="0" w:line="276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b/>
          <w:bCs/>
          <w:sz w:val="28"/>
          <w:szCs w:val="28"/>
        </w:rPr>
        <w:t>ТЕОРЕТИЧНЕ ДОСЛІДЖЕННЯ ПРОЦЕСУ ГОРІННЯ ЧОТИРЬОХКОМПОНЕНТНОЇ ДВОФАЗНОЇ ПАЛИВНОЇ СУМІШІ ДЛЯ ЕНЕРГОЖИВЛЕННЯ ТВАРИННИЦЬКИХ КОМПЛЕКСІВ</w:t>
      </w:r>
    </w:p>
    <w:p w14:paraId="39E3D9BD" w14:textId="6B6957E9" w:rsidR="003323C7" w:rsidRDefault="003323C7" w:rsidP="00B90A7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Дацюк Д.А.,</w:t>
      </w:r>
      <w:r w:rsidR="00923A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  <w:r>
        <w:rPr>
          <w:rFonts w:ascii="Times New Roman" w:hAnsi="Times New Roman" w:cs="Times New Roman"/>
          <w:sz w:val="28"/>
          <w:szCs w:val="28"/>
        </w:rPr>
        <w:t>, старший викладач</w:t>
      </w:r>
      <w:r w:rsidR="00923A1E">
        <w:rPr>
          <w:rFonts w:ascii="Times New Roman" w:hAnsi="Times New Roman" w:cs="Times New Roman"/>
          <w:sz w:val="28"/>
          <w:szCs w:val="28"/>
        </w:rPr>
        <w:t xml:space="preserve">, </w:t>
      </w:r>
      <w:hyperlink r:id="rId4" w:history="1">
        <w:r w:rsidR="00923A1E" w:rsidRPr="009343FF">
          <w:rPr>
            <w:rStyle w:val="a3"/>
            <w:rFonts w:ascii="Times New Roman" w:hAnsi="Times New Roman" w:cs="Times New Roman"/>
            <w:sz w:val="28"/>
            <w:szCs w:val="28"/>
          </w:rPr>
          <w:t>datsyuck.dima2012@gmail.com</w:t>
        </w:r>
      </w:hyperlink>
    </w:p>
    <w:p w14:paraId="6B79ADED" w14:textId="0962F28A" w:rsidR="003323C7" w:rsidRDefault="003323C7" w:rsidP="00B90A71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323C7">
        <w:rPr>
          <w:rFonts w:ascii="Times New Roman" w:hAnsi="Times New Roman" w:cs="Times New Roman"/>
          <w:i/>
          <w:iCs/>
          <w:sz w:val="28"/>
          <w:szCs w:val="28"/>
        </w:rPr>
        <w:t>Вінницький національний аграрний університет</w:t>
      </w:r>
    </w:p>
    <w:p w14:paraId="6F1E7000" w14:textId="7DBB9706" w:rsidR="003323C7" w:rsidRPr="00E2408F" w:rsidRDefault="003323C7" w:rsidP="00B90A71">
      <w:pPr>
        <w:spacing w:after="0" w:line="276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04F53DF" w14:textId="78B2A7AE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>Сучасні тваринницькі комплекси є енергоємними об’єктами, функціонування яких потребує стабільного забезпечення електричною та тепловою енергією. Значна частина енергії використовується для роботи систем вентиляції, освітлення, водопостачання, кормоприготування, доїння, охолодження та інших технологічних процесів. У зв’язку з цим актуальним є створення локальних систем енергоживлення, здатних адаптувати виробництво енергії до змінного навантаження підприємства.</w:t>
      </w:r>
    </w:p>
    <w:p w14:paraId="09188887" w14:textId="2DBD52F5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Одним із перспективних напрямів є використання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біометану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>, одержаного шляхом переробки органічних відходів тваринницьких підприємств. Його застосування у складі паливних сумішей для двигунів внутрішнього згоряння</w:t>
      </w:r>
      <w:r w:rsidR="007329EF">
        <w:rPr>
          <w:rFonts w:ascii="Times New Roman" w:hAnsi="Times New Roman" w:cs="Times New Roman"/>
          <w:iCs/>
          <w:sz w:val="28"/>
          <w:szCs w:val="28"/>
        </w:rPr>
        <w:t>.</w:t>
      </w:r>
    </w:p>
    <w:p w14:paraId="0F1FBDF3" w14:textId="053576EA" w:rsidR="00C15E60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>Ефективність роботи двигуна при використанні багатокомпонентного палива значною мірою залежить від складу суміші, співвідношення газової та рідкої фаз, кількості повітря та режиму роботи двигуна. Зміна цих параметрів впливає на швидкість і стабільність горіння, тепловиділення, температуру робочого циклу та енергетичні показники установки.</w:t>
      </w:r>
    </w:p>
    <w:p w14:paraId="6F1FA614" w14:textId="2C593CC7" w:rsid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Метою дослідження є теоретичне визначення закономірностей перебігу процесу горіння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чотирьохкомпонентної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двофазної паливної суміші та оцінювання впливу її складу і режиму роботи двигуна на енергетичні характеристики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енергогенерувальної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установки.</w:t>
      </w:r>
    </w:p>
    <w:p w14:paraId="1AC996E3" w14:textId="51CE3B0B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Використання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біометану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як моторного палива розглядається як один із напрямів підвищення енергетичної автономності аграрних підприємств. Особливо перспективним його застосування є для тваринницьких комплексів, де сировиною для виробництва біогазу можуть бути органічні відходи виробництва.</w:t>
      </w:r>
    </w:p>
    <w:p w14:paraId="316F03AE" w14:textId="6FBBEBD6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Після очищення біогазу від небажаних домішок отриманий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біометан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може використовуватися в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енергогенерувальних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установках. При цьому для забезпечення стабільної роботи двигуна необхідно враховувати особливості процесу сумішоутворення та горіння.</w:t>
      </w:r>
    </w:p>
    <w:p w14:paraId="767D5B35" w14:textId="3A5B0168" w:rsid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>Багатокомпонентна паливна система має перевагу у можливості оперативної зміни співвідношення компонентів залежно від режиму роботи двигуна.</w:t>
      </w:r>
    </w:p>
    <w:p w14:paraId="72068CE4" w14:textId="67055B03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Для проведення теоретичного дослідження розглянуто процес роботи двигуна на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чотирьохкомпонентній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двофазній паливній суміші. Під час аналізу враховувалися склад паливної суміші, співвідношення газової та рідкої фаз, коефіцієнт надлишку повітря, частота обертання колінчастого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вала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та навантаження двигуна.</w:t>
      </w:r>
    </w:p>
    <w:p w14:paraId="7460856B" w14:textId="7F9848B4" w:rsid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Основні фактори, що враховуються під час дослідження, наведено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923A1E">
        <w:rPr>
          <w:rFonts w:ascii="Times New Roman" w:hAnsi="Times New Roman" w:cs="Times New Roman"/>
          <w:iCs/>
          <w:sz w:val="28"/>
          <w:szCs w:val="28"/>
        </w:rPr>
        <w:t>в табл</w:t>
      </w:r>
      <w:r>
        <w:rPr>
          <w:rFonts w:ascii="Times New Roman" w:hAnsi="Times New Roman" w:cs="Times New Roman"/>
          <w:iCs/>
          <w:sz w:val="28"/>
          <w:szCs w:val="28"/>
        </w:rPr>
        <w:t>иці</w:t>
      </w:r>
      <w:r w:rsidRPr="00923A1E">
        <w:rPr>
          <w:rFonts w:ascii="Times New Roman" w:hAnsi="Times New Roman" w:cs="Times New Roman"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3EF3867B" w14:textId="1CDE8654" w:rsidR="00923A1E" w:rsidRPr="00923A1E" w:rsidRDefault="00923A1E" w:rsidP="00B90A7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23A1E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Таблиця 1 – Основні фактори теоретичного дослідження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3"/>
        <w:gridCol w:w="2943"/>
        <w:gridCol w:w="3532"/>
      </w:tblGrid>
      <w:tr w:rsidR="00923A1E" w:rsidRPr="00923A1E" w14:paraId="4879F0E1" w14:textId="77777777" w:rsidTr="00923A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AF840" w14:textId="77777777" w:rsidR="00923A1E" w:rsidRPr="00923A1E" w:rsidRDefault="00923A1E" w:rsidP="00B90A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Фактор</w:t>
            </w:r>
          </w:p>
        </w:tc>
        <w:tc>
          <w:tcPr>
            <w:tcW w:w="0" w:type="auto"/>
            <w:vAlign w:val="center"/>
            <w:hideMark/>
          </w:tcPr>
          <w:p w14:paraId="4B926160" w14:textId="77777777" w:rsidR="00923A1E" w:rsidRPr="00923A1E" w:rsidRDefault="00923A1E" w:rsidP="00B90A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Зміна параметра</w:t>
            </w:r>
          </w:p>
        </w:tc>
        <w:tc>
          <w:tcPr>
            <w:tcW w:w="0" w:type="auto"/>
            <w:vAlign w:val="center"/>
            <w:hideMark/>
          </w:tcPr>
          <w:p w14:paraId="49AE8D92" w14:textId="77777777" w:rsidR="00923A1E" w:rsidRPr="00923A1E" w:rsidRDefault="00923A1E" w:rsidP="00B90A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Основний вплив</w:t>
            </w:r>
          </w:p>
        </w:tc>
      </w:tr>
      <w:tr w:rsidR="00923A1E" w:rsidRPr="00923A1E" w14:paraId="588249A1" w14:textId="77777777" w:rsidTr="00923A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AD596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Частка </w:t>
            </w:r>
            <w:proofErr w:type="spellStart"/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біометану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8099E8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зміна складу суміші</w:t>
            </w:r>
          </w:p>
        </w:tc>
        <w:tc>
          <w:tcPr>
            <w:tcW w:w="0" w:type="auto"/>
            <w:vAlign w:val="center"/>
            <w:hideMark/>
          </w:tcPr>
          <w:p w14:paraId="119D3EE3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зміна характеру горіння та тепловиділення</w:t>
            </w:r>
          </w:p>
        </w:tc>
      </w:tr>
      <w:tr w:rsidR="00923A1E" w:rsidRPr="00923A1E" w14:paraId="22381504" w14:textId="77777777" w:rsidTr="00923A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F840D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Співвідношення газової та рідкої фаз</w:t>
            </w:r>
          </w:p>
        </w:tc>
        <w:tc>
          <w:tcPr>
            <w:tcW w:w="0" w:type="auto"/>
            <w:vAlign w:val="center"/>
            <w:hideMark/>
          </w:tcPr>
          <w:p w14:paraId="1A89A30B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різні співвідношення компонентів</w:t>
            </w:r>
          </w:p>
        </w:tc>
        <w:tc>
          <w:tcPr>
            <w:tcW w:w="0" w:type="auto"/>
            <w:vAlign w:val="center"/>
            <w:hideMark/>
          </w:tcPr>
          <w:p w14:paraId="2D4098F1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вплив на сумішоутворення</w:t>
            </w:r>
          </w:p>
        </w:tc>
      </w:tr>
      <w:tr w:rsidR="00923A1E" w:rsidRPr="00923A1E" w14:paraId="0C9C1975" w14:textId="77777777" w:rsidTr="00923A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B0E85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 повітря</w:t>
            </w:r>
          </w:p>
        </w:tc>
        <w:tc>
          <w:tcPr>
            <w:tcW w:w="0" w:type="auto"/>
            <w:vAlign w:val="center"/>
            <w:hideMark/>
          </w:tcPr>
          <w:p w14:paraId="5DB8FCE0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 недостатньої до надлишкової</w:t>
            </w:r>
          </w:p>
        </w:tc>
        <w:tc>
          <w:tcPr>
            <w:tcW w:w="0" w:type="auto"/>
            <w:vAlign w:val="center"/>
            <w:hideMark/>
          </w:tcPr>
          <w:p w14:paraId="1CCA012F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вплив на повноту згоряння</w:t>
            </w:r>
          </w:p>
        </w:tc>
      </w:tr>
      <w:tr w:rsidR="00923A1E" w:rsidRPr="00923A1E" w14:paraId="7164F97A" w14:textId="77777777" w:rsidTr="00923A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894584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Навантаження двигуна</w:t>
            </w:r>
          </w:p>
        </w:tc>
        <w:tc>
          <w:tcPr>
            <w:tcW w:w="0" w:type="auto"/>
            <w:vAlign w:val="center"/>
            <w:hideMark/>
          </w:tcPr>
          <w:p w14:paraId="3C3CB2A5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 часткового до номінального</w:t>
            </w:r>
          </w:p>
        </w:tc>
        <w:tc>
          <w:tcPr>
            <w:tcW w:w="0" w:type="auto"/>
            <w:vAlign w:val="center"/>
            <w:hideMark/>
          </w:tcPr>
          <w:p w14:paraId="7F9E27AC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зміна енергетичних показників</w:t>
            </w:r>
          </w:p>
        </w:tc>
      </w:tr>
      <w:tr w:rsidR="00923A1E" w:rsidRPr="00923A1E" w14:paraId="01E5A802" w14:textId="77777777" w:rsidTr="00923A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3B13C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Частота обертання</w:t>
            </w:r>
          </w:p>
        </w:tc>
        <w:tc>
          <w:tcPr>
            <w:tcW w:w="0" w:type="auto"/>
            <w:vAlign w:val="center"/>
            <w:hideMark/>
          </w:tcPr>
          <w:p w14:paraId="737324A2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різні режими роботи</w:t>
            </w:r>
          </w:p>
        </w:tc>
        <w:tc>
          <w:tcPr>
            <w:tcW w:w="0" w:type="auto"/>
            <w:vAlign w:val="center"/>
            <w:hideMark/>
          </w:tcPr>
          <w:p w14:paraId="235152E4" w14:textId="77777777" w:rsidR="00923A1E" w:rsidRPr="00923A1E" w:rsidRDefault="00923A1E" w:rsidP="00B90A7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23A1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зміна тривалості робочого циклу</w:t>
            </w:r>
          </w:p>
        </w:tc>
      </w:tr>
    </w:tbl>
    <w:p w14:paraId="102A298A" w14:textId="1FD3F79E" w:rsid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1CF3D98" w14:textId="074B1A87" w:rsid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>Для оцінювання результатів доцільно використовувати такі показники: характер тепловиділення, максимальну температуру робочого циклу, максимальний тиск у циліндрі, тривалість процесу горіння, ефективну потужність та паливну економічність.</w:t>
      </w:r>
    </w:p>
    <w:p w14:paraId="55AB6612" w14:textId="6A66103F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Теоретичний аналіз показав, що зміна складу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чотирьохкомпонентної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паливної суміші безпосередньо впливає на перебіг процесу горіння. Особливе значення має частка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біометану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, оскільки її зміна супроводжується зміною умов утворення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паливоповітряної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суміші та характеру тепловиділення.</w:t>
      </w:r>
    </w:p>
    <w:p w14:paraId="2A529FE8" w14:textId="3AF56119" w:rsidR="00923A1E" w:rsidRPr="00923A1E" w:rsidRDefault="00923A1E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3A1E">
        <w:rPr>
          <w:rFonts w:ascii="Times New Roman" w:hAnsi="Times New Roman" w:cs="Times New Roman"/>
          <w:iCs/>
          <w:sz w:val="28"/>
          <w:szCs w:val="28"/>
        </w:rPr>
        <w:t xml:space="preserve">Збільшення частки </w:t>
      </w:r>
      <w:proofErr w:type="spellStart"/>
      <w:r w:rsidRPr="00923A1E">
        <w:rPr>
          <w:rFonts w:ascii="Times New Roman" w:hAnsi="Times New Roman" w:cs="Times New Roman"/>
          <w:iCs/>
          <w:sz w:val="28"/>
          <w:szCs w:val="28"/>
        </w:rPr>
        <w:t>біометану</w:t>
      </w:r>
      <w:proofErr w:type="spellEnd"/>
      <w:r w:rsidRPr="00923A1E">
        <w:rPr>
          <w:rFonts w:ascii="Times New Roman" w:hAnsi="Times New Roman" w:cs="Times New Roman"/>
          <w:iCs/>
          <w:sz w:val="28"/>
          <w:szCs w:val="28"/>
        </w:rPr>
        <w:t xml:space="preserve"> потребує відповідного коригування подачі повітря та інших компонентів суміші. За раціонального співвідношення компонентів забезпечуються сприятливі умови для стабільного процесу горіння. </w:t>
      </w:r>
    </w:p>
    <w:p w14:paraId="1F9C9A56" w14:textId="752C2E33" w:rsidR="007329EF" w:rsidRPr="007329EF" w:rsidRDefault="007329EF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329EF">
        <w:rPr>
          <w:rFonts w:ascii="Times New Roman" w:hAnsi="Times New Roman" w:cs="Times New Roman"/>
          <w:iCs/>
          <w:sz w:val="28"/>
          <w:szCs w:val="28"/>
        </w:rPr>
        <w:t xml:space="preserve">Теоретичним аналізом встановлено вплив складу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чотирьохкомпонентної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двофазної паливної суміші на характер процесу горіння та тепловиділення в двигуні. Визначено основні фактори, що впливають на ефективність його роботи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67455EDE" w14:textId="08624E68" w:rsidR="00923A1E" w:rsidRDefault="007329EF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329EF">
        <w:rPr>
          <w:rFonts w:ascii="Times New Roman" w:hAnsi="Times New Roman" w:cs="Times New Roman"/>
          <w:iCs/>
          <w:sz w:val="28"/>
          <w:szCs w:val="28"/>
        </w:rPr>
        <w:t xml:space="preserve">Обґрунтовано необхідність коригування складу паливної суміші відповідно до режиму роботи двигуна. Отримані результати можуть бути </w:t>
      </w:r>
      <w:r w:rsidRPr="007329EF">
        <w:rPr>
          <w:rFonts w:ascii="Times New Roman" w:hAnsi="Times New Roman" w:cs="Times New Roman"/>
          <w:iCs/>
          <w:sz w:val="28"/>
          <w:szCs w:val="28"/>
        </w:rPr>
        <w:lastRenderedPageBreak/>
        <w:t>використані для подальшого розроблення адаптивної системи керування гібридним енергоживленням тваринницьких комплексів.</w:t>
      </w:r>
    </w:p>
    <w:p w14:paraId="3E66AA32" w14:textId="779DFB3B" w:rsidR="007329EF" w:rsidRDefault="007329EF" w:rsidP="00B90A71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БІБЛІОГРАФІЯ</w:t>
      </w:r>
    </w:p>
    <w:p w14:paraId="207FC4B5" w14:textId="25014F8D" w:rsidR="007329EF" w:rsidRPr="007329EF" w:rsidRDefault="007329EF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Рябошапка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В., Гайдамак О.,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Штуц</w:t>
      </w:r>
      <w:r>
        <w:rPr>
          <w:rFonts w:ascii="Times New Roman" w:hAnsi="Times New Roman" w:cs="Times New Roman"/>
          <w:iCs/>
          <w:sz w:val="28"/>
          <w:szCs w:val="28"/>
        </w:rPr>
        <w:t>ь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А., Лисенко Р.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Comprehensive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analysis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of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physico-chemical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and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operational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properties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of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alternative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fuel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mixtures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based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on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bioethanol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diesel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and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biodiesel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fuel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in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electrical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technologies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of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bioenergy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systems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of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enterprises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7329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329EF">
        <w:rPr>
          <w:rFonts w:ascii="Times New Roman" w:hAnsi="Times New Roman" w:cs="Times New Roman"/>
          <w:i/>
          <w:sz w:val="28"/>
          <w:szCs w:val="28"/>
        </w:rPr>
        <w:t>Вібрації в техніці та технологіях.</w:t>
      </w:r>
      <w:r w:rsidRPr="007329EF">
        <w:rPr>
          <w:rFonts w:ascii="Times New Roman" w:hAnsi="Times New Roman" w:cs="Times New Roman"/>
          <w:iCs/>
          <w:sz w:val="28"/>
          <w:szCs w:val="28"/>
        </w:rPr>
        <w:t xml:space="preserve"> 2025. № 2 (117). С. 131–140. – DOI: 10.37128/2306-8744-2025-2-16.</w:t>
      </w:r>
    </w:p>
    <w:p w14:paraId="60AA1876" w14:textId="3A2F1A00" w:rsidR="007329EF" w:rsidRPr="007329EF" w:rsidRDefault="007329EF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Стаднік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М. І., Проценко Д. П., Бабій С. М. Гібридне електропостачання з використанням відновлюваних джерел енергії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7329EF">
        <w:rPr>
          <w:rFonts w:ascii="Times New Roman" w:hAnsi="Times New Roman" w:cs="Times New Roman"/>
          <w:iCs/>
          <w:sz w:val="28"/>
          <w:szCs w:val="28"/>
        </w:rPr>
        <w:t xml:space="preserve"> Вісник </w:t>
      </w:r>
      <w:r w:rsidRPr="007329EF">
        <w:rPr>
          <w:rFonts w:ascii="Times New Roman" w:hAnsi="Times New Roman" w:cs="Times New Roman"/>
          <w:i/>
          <w:sz w:val="28"/>
          <w:szCs w:val="28"/>
        </w:rPr>
        <w:t xml:space="preserve">Вінницького політехнічного інституту. </w:t>
      </w:r>
      <w:r w:rsidRPr="007329EF">
        <w:rPr>
          <w:rFonts w:ascii="Times New Roman" w:hAnsi="Times New Roman" w:cs="Times New Roman"/>
          <w:iCs/>
          <w:sz w:val="28"/>
          <w:szCs w:val="28"/>
        </w:rPr>
        <w:t>2020. № 4. С. 32–41. DOI: 10.31649/1997-9266-2020-151-4-32-41.</w:t>
      </w:r>
    </w:p>
    <w:p w14:paraId="02BBF16F" w14:textId="136FB113" w:rsidR="007329EF" w:rsidRPr="007329EF" w:rsidRDefault="007329EF" w:rsidP="00B90A71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Стаднік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М. І., Грицун А. В., Проценко Д. П. Метод покриття графіку навантаження тваринницької ферми при автономному електропостачанні, на базі </w:t>
      </w:r>
      <w:proofErr w:type="spellStart"/>
      <w:r w:rsidRPr="007329EF">
        <w:rPr>
          <w:rFonts w:ascii="Times New Roman" w:hAnsi="Times New Roman" w:cs="Times New Roman"/>
          <w:iCs/>
          <w:sz w:val="28"/>
          <w:szCs w:val="28"/>
        </w:rPr>
        <w:t>біогазових</w:t>
      </w:r>
      <w:proofErr w:type="spellEnd"/>
      <w:r w:rsidRPr="007329EF">
        <w:rPr>
          <w:rFonts w:ascii="Times New Roman" w:hAnsi="Times New Roman" w:cs="Times New Roman"/>
          <w:iCs/>
          <w:sz w:val="28"/>
          <w:szCs w:val="28"/>
        </w:rPr>
        <w:t xml:space="preserve"> установо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7329EF">
        <w:rPr>
          <w:rFonts w:ascii="Times New Roman" w:hAnsi="Times New Roman" w:cs="Times New Roman"/>
          <w:i/>
          <w:sz w:val="28"/>
          <w:szCs w:val="28"/>
        </w:rPr>
        <w:t>Техніка, енергетика, транспорт АПК.</w:t>
      </w:r>
      <w:r w:rsidRPr="007329EF">
        <w:rPr>
          <w:rFonts w:ascii="Times New Roman" w:hAnsi="Times New Roman" w:cs="Times New Roman"/>
          <w:iCs/>
          <w:sz w:val="28"/>
          <w:szCs w:val="28"/>
        </w:rPr>
        <w:t xml:space="preserve"> 2019.  № 4. С. 81–89</w:t>
      </w:r>
    </w:p>
    <w:sectPr w:rsidR="007329EF" w:rsidRPr="007329EF" w:rsidSect="003323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AF"/>
    <w:rsid w:val="00047E43"/>
    <w:rsid w:val="00076824"/>
    <w:rsid w:val="00205ACD"/>
    <w:rsid w:val="0031279A"/>
    <w:rsid w:val="003323C7"/>
    <w:rsid w:val="003C50B8"/>
    <w:rsid w:val="00464CB6"/>
    <w:rsid w:val="0067485A"/>
    <w:rsid w:val="007329EF"/>
    <w:rsid w:val="007829A8"/>
    <w:rsid w:val="00873D68"/>
    <w:rsid w:val="00923A1E"/>
    <w:rsid w:val="00930B21"/>
    <w:rsid w:val="00B537AF"/>
    <w:rsid w:val="00B90A71"/>
    <w:rsid w:val="00C15E60"/>
    <w:rsid w:val="00E17C98"/>
    <w:rsid w:val="00E2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CDE90"/>
  <w15:chartTrackingRefBased/>
  <w15:docId w15:val="{2E3897C3-6249-4269-AE24-5C134573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3C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323C7"/>
    <w:rPr>
      <w:color w:val="605E5C"/>
      <w:shd w:val="clear" w:color="auto" w:fill="E1DFDD"/>
    </w:rPr>
  </w:style>
  <w:style w:type="character" w:styleId="a5">
    <w:name w:val="Placeholder Text"/>
    <w:basedOn w:val="a0"/>
    <w:uiPriority w:val="99"/>
    <w:semiHidden/>
    <w:rsid w:val="0031279A"/>
    <w:rPr>
      <w:color w:val="808080"/>
    </w:rPr>
  </w:style>
  <w:style w:type="character" w:customStyle="1" w:styleId="mord">
    <w:name w:val="mord"/>
    <w:basedOn w:val="a0"/>
    <w:rsid w:val="0031279A"/>
  </w:style>
  <w:style w:type="character" w:customStyle="1" w:styleId="vlist-s">
    <w:name w:val="vlist-s"/>
    <w:basedOn w:val="a0"/>
    <w:rsid w:val="0031279A"/>
  </w:style>
  <w:style w:type="character" w:customStyle="1" w:styleId="mrel">
    <w:name w:val="mrel"/>
    <w:basedOn w:val="a0"/>
    <w:rsid w:val="0031279A"/>
  </w:style>
  <w:style w:type="character" w:customStyle="1" w:styleId="mbin">
    <w:name w:val="mbin"/>
    <w:basedOn w:val="a0"/>
    <w:rsid w:val="0031279A"/>
  </w:style>
  <w:style w:type="character" w:customStyle="1" w:styleId="mop">
    <w:name w:val="mop"/>
    <w:basedOn w:val="a0"/>
    <w:rsid w:val="0031279A"/>
  </w:style>
  <w:style w:type="character" w:customStyle="1" w:styleId="delimsizing">
    <w:name w:val="delimsizing"/>
    <w:basedOn w:val="a0"/>
    <w:rsid w:val="0031279A"/>
  </w:style>
  <w:style w:type="table" w:styleId="a6">
    <w:name w:val="Table Grid"/>
    <w:basedOn w:val="a1"/>
    <w:uiPriority w:val="39"/>
    <w:rsid w:val="00C15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23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923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tsyuck.dima201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3285</Words>
  <Characters>1873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VR</cp:lastModifiedBy>
  <cp:revision>2</cp:revision>
  <dcterms:created xsi:type="dcterms:W3CDTF">2026-10-05T12:14:00Z</dcterms:created>
  <dcterms:modified xsi:type="dcterms:W3CDTF">2026-10-05T12:14:00Z</dcterms:modified>
</cp:coreProperties>
</file>