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25279" w14:textId="6CE0D936" w:rsidR="00C71D5B" w:rsidRDefault="00C71D5B" w:rsidP="001353D4">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2F645A" w:rsidRPr="002F645A">
        <w:rPr>
          <w:rFonts w:ascii="Times New Roman" w:hAnsi="Times New Roman" w:cs="Times New Roman"/>
          <w:sz w:val="28"/>
          <w:szCs w:val="28"/>
        </w:rPr>
        <w:t>636.085.52</w:t>
      </w:r>
    </w:p>
    <w:p w14:paraId="139BF791" w14:textId="77777777" w:rsidR="00A45D75" w:rsidRPr="000E1174" w:rsidRDefault="00A45D75" w:rsidP="001353D4">
      <w:pPr>
        <w:spacing w:after="0" w:line="276" w:lineRule="auto"/>
        <w:rPr>
          <w:rFonts w:ascii="Times New Roman" w:hAnsi="Times New Roman" w:cs="Times New Roman"/>
          <w:sz w:val="28"/>
          <w:szCs w:val="28"/>
        </w:rPr>
      </w:pPr>
    </w:p>
    <w:p w14:paraId="0A72DA68" w14:textId="7BD1DEC1" w:rsidR="00C71D5B" w:rsidRDefault="00A45D75" w:rsidP="001353D4">
      <w:pPr>
        <w:spacing w:after="0" w:line="276" w:lineRule="auto"/>
        <w:jc w:val="center"/>
        <w:rPr>
          <w:rFonts w:ascii="Times New Roman" w:hAnsi="Times New Roman" w:cs="Times New Roman"/>
          <w:b/>
          <w:bCs/>
          <w:sz w:val="28"/>
          <w:szCs w:val="28"/>
        </w:rPr>
      </w:pPr>
      <w:r w:rsidRPr="00A45D75">
        <w:rPr>
          <w:rFonts w:ascii="Times New Roman" w:hAnsi="Times New Roman" w:cs="Times New Roman"/>
          <w:b/>
          <w:bCs/>
          <w:sz w:val="28"/>
          <w:szCs w:val="28"/>
        </w:rPr>
        <w:t>ОБҐРУНТУВАННЯ ВПЛИВУ КОНСТРУКЦІЙНО-ТЕХНОЛОГІЧНИХ ПАРАМЕТРІВ КОНТЕЙНЕРА НА ПРОЦЕС СИЛОСУВАННЯ КОРМІВ</w:t>
      </w:r>
    </w:p>
    <w:p w14:paraId="73317137" w14:textId="77777777" w:rsidR="00C71D5B" w:rsidRDefault="00C71D5B" w:rsidP="001353D4">
      <w:pPr>
        <w:spacing w:after="0" w:line="276" w:lineRule="auto"/>
        <w:rPr>
          <w:rFonts w:ascii="Times New Roman" w:hAnsi="Times New Roman" w:cs="Times New Roman"/>
          <w:sz w:val="28"/>
          <w:szCs w:val="28"/>
        </w:rPr>
      </w:pPr>
    </w:p>
    <w:p w14:paraId="4AD135FA" w14:textId="1CBB94F6" w:rsidR="00C71D5B" w:rsidRDefault="00C71D5B" w:rsidP="001353D4">
      <w:pPr>
        <w:spacing w:after="0" w:line="276" w:lineRule="auto"/>
        <w:jc w:val="center"/>
        <w:rPr>
          <w:rFonts w:ascii="Times New Roman" w:hAnsi="Times New Roman" w:cs="Times New Roman"/>
          <w:sz w:val="28"/>
          <w:szCs w:val="28"/>
        </w:rPr>
      </w:pPr>
      <w:proofErr w:type="spellStart"/>
      <w:r>
        <w:rPr>
          <w:rFonts w:ascii="Times New Roman" w:hAnsi="Times New Roman" w:cs="Times New Roman"/>
          <w:b/>
          <w:bCs/>
          <w:sz w:val="28"/>
          <w:szCs w:val="28"/>
        </w:rPr>
        <w:t>Борак</w:t>
      </w:r>
      <w:proofErr w:type="spellEnd"/>
      <w:r>
        <w:rPr>
          <w:rFonts w:ascii="Times New Roman" w:hAnsi="Times New Roman" w:cs="Times New Roman"/>
          <w:b/>
          <w:bCs/>
          <w:sz w:val="28"/>
          <w:szCs w:val="28"/>
        </w:rPr>
        <w:t xml:space="preserve"> К.В</w:t>
      </w:r>
      <w:r w:rsidRPr="000E1174">
        <w:rPr>
          <w:rFonts w:ascii="Times New Roman" w:hAnsi="Times New Roman" w:cs="Times New Roman"/>
          <w:b/>
          <w:bCs/>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proofErr w:type="spellStart"/>
      <w:r>
        <w:rPr>
          <w:rFonts w:ascii="Times New Roman" w:hAnsi="Times New Roman" w:cs="Times New Roman"/>
          <w:b/>
          <w:bCs/>
          <w:sz w:val="28"/>
          <w:szCs w:val="28"/>
        </w:rPr>
        <w:t>Нєлепін</w:t>
      </w:r>
      <w:proofErr w:type="spellEnd"/>
      <w:r>
        <w:rPr>
          <w:rFonts w:ascii="Times New Roman" w:hAnsi="Times New Roman" w:cs="Times New Roman"/>
          <w:b/>
          <w:bCs/>
          <w:sz w:val="28"/>
          <w:szCs w:val="28"/>
        </w:rPr>
        <w:t xml:space="preserve"> І.О. </w:t>
      </w:r>
      <w:r>
        <w:rPr>
          <w:rFonts w:ascii="Times New Roman" w:hAnsi="Times New Roman" w:cs="Times New Roman"/>
          <w:sz w:val="28"/>
          <w:szCs w:val="28"/>
        </w:rPr>
        <w:t>здобувач освіти</w:t>
      </w:r>
    </w:p>
    <w:p w14:paraId="5710A058" w14:textId="77777777" w:rsidR="00C71D5B" w:rsidRPr="001353D4" w:rsidRDefault="00C71D5B" w:rsidP="001353D4">
      <w:pPr>
        <w:spacing w:after="0" w:line="276" w:lineRule="auto"/>
        <w:jc w:val="center"/>
        <w:rPr>
          <w:rFonts w:ascii="Times New Roman" w:hAnsi="Times New Roman" w:cs="Times New Roman"/>
          <w:i/>
          <w:iCs/>
          <w:sz w:val="28"/>
          <w:szCs w:val="28"/>
        </w:rPr>
      </w:pPr>
      <w:r w:rsidRPr="001353D4">
        <w:rPr>
          <w:rFonts w:ascii="Times New Roman" w:hAnsi="Times New Roman" w:cs="Times New Roman"/>
          <w:i/>
          <w:iCs/>
          <w:sz w:val="28"/>
          <w:szCs w:val="28"/>
        </w:rPr>
        <w:t>Поліський національний університет, м. Житомир</w:t>
      </w:r>
    </w:p>
    <w:p w14:paraId="33E438B8" w14:textId="77777777" w:rsidR="00C71D5B" w:rsidRDefault="00C71D5B" w:rsidP="001353D4">
      <w:pPr>
        <w:spacing w:after="0" w:line="276" w:lineRule="auto"/>
        <w:jc w:val="center"/>
        <w:rPr>
          <w:rFonts w:ascii="Times New Roman" w:hAnsi="Times New Roman" w:cs="Times New Roman"/>
          <w:sz w:val="28"/>
          <w:szCs w:val="28"/>
        </w:rPr>
      </w:pPr>
    </w:p>
    <w:p w14:paraId="4E815EEA" w14:textId="77777777" w:rsidR="003E015B" w:rsidRDefault="003E015B" w:rsidP="001353D4">
      <w:pPr>
        <w:spacing w:after="0" w:line="276" w:lineRule="auto"/>
        <w:ind w:firstLine="709"/>
        <w:jc w:val="both"/>
      </w:pPr>
      <w:r>
        <w:rPr>
          <w:rFonts w:ascii="Times New Roman" w:eastAsia="Times New Roman" w:hAnsi="Times New Roman"/>
          <w:sz w:val="28"/>
        </w:rPr>
        <w:t>Силосування є одним із найбільш поширених способів консервування зелених кормів, який ґрунтується на створенні анаеробних умов та розвитку молочнокислого бродіння. Ефективність цього процесу значною мірою визначається не лише фізико-механічними й біохімічними властивостями вихідної рослинної маси, але й конструктивними та технологічними характеристиками обладнання, що використовується для її зберігання. Основними умовами одержання якісного силосу є швидке формування анаеробного середовища, достатня щільність кормової маси та мінімізація надходження повітря впродовж усього періоду зберігання [1–3].</w:t>
      </w:r>
    </w:p>
    <w:p w14:paraId="54231CE9" w14:textId="77777777" w:rsidR="003E015B" w:rsidRDefault="003E015B" w:rsidP="001353D4">
      <w:pPr>
        <w:spacing w:after="0" w:line="276" w:lineRule="auto"/>
        <w:ind w:firstLine="709"/>
        <w:jc w:val="both"/>
      </w:pPr>
      <w:r>
        <w:rPr>
          <w:rFonts w:ascii="Times New Roman" w:eastAsia="Times New Roman" w:hAnsi="Times New Roman"/>
          <w:sz w:val="28"/>
        </w:rPr>
        <w:t xml:space="preserve">Перспективним напрямом удосконалення технології заготівлі кормів є використання герметичних контейнерів, які дають можливість формувати окремі порції корму, забезпечувати контрольовані умови ферментації та зменшувати втрати поживних речовин під час зберігання і використання силосу. Особливого значення при цьому набуває обґрунтування </w:t>
      </w:r>
      <w:proofErr w:type="spellStart"/>
      <w:r>
        <w:rPr>
          <w:rFonts w:ascii="Times New Roman" w:eastAsia="Times New Roman" w:hAnsi="Times New Roman"/>
          <w:sz w:val="28"/>
        </w:rPr>
        <w:t>конструкційно</w:t>
      </w:r>
      <w:proofErr w:type="spellEnd"/>
      <w:r>
        <w:rPr>
          <w:rFonts w:ascii="Times New Roman" w:eastAsia="Times New Roman" w:hAnsi="Times New Roman"/>
          <w:sz w:val="28"/>
        </w:rPr>
        <w:t>-технологічних параметрів контейнера, які безпосередньо впливають на ступінь ущільнення кормової маси, швидкість видалення повітря, герметичність та стабільність перебігу процесу силосування.</w:t>
      </w:r>
    </w:p>
    <w:p w14:paraId="6218F1AE" w14:textId="77777777" w:rsidR="003E015B" w:rsidRDefault="003E015B" w:rsidP="001353D4">
      <w:pPr>
        <w:spacing w:after="0" w:line="276" w:lineRule="auto"/>
        <w:ind w:firstLine="709"/>
        <w:jc w:val="both"/>
      </w:pPr>
      <w:r>
        <w:rPr>
          <w:rFonts w:ascii="Times New Roman" w:eastAsia="Times New Roman" w:hAnsi="Times New Roman"/>
          <w:sz w:val="28"/>
        </w:rPr>
        <w:t>Основними конструкційними параметрами контейнера для силосування кормів слід вважати його місткість, геометричну форму, співвідношення висоти до площі поперечного перерізу, товщину й жорсткість стінок, матеріал виготовлення, конструкцію завантажувального отвору, ущільнювальних елементів і пристроїв для герметизації. До технологічних параметрів належать ступінь заповнення контейнера, щільність укладання кормової маси, інтенсивність її ущільнення, тривалість завантаження та герметизації, ступінь подрібнення рослинної сировини, її вологість, а у разі застосування вакуумування – величина створюваного розрідження.</w:t>
      </w:r>
    </w:p>
    <w:p w14:paraId="71FC94A6" w14:textId="77777777" w:rsidR="003E015B" w:rsidRDefault="003E015B" w:rsidP="001353D4">
      <w:pPr>
        <w:spacing w:after="0" w:line="276" w:lineRule="auto"/>
        <w:ind w:firstLine="709"/>
        <w:jc w:val="both"/>
      </w:pPr>
      <w:r>
        <w:rPr>
          <w:rFonts w:ascii="Times New Roman" w:eastAsia="Times New Roman" w:hAnsi="Times New Roman"/>
          <w:sz w:val="28"/>
        </w:rPr>
        <w:t>Одним із визначальних показників є щільність закладання кормової маси, яку можна представити залежністю</w:t>
      </w:r>
    </w:p>
    <w:p w14:paraId="01DF887D" w14:textId="45D9F26E" w:rsidR="003E015B" w:rsidRDefault="003E015B" w:rsidP="001353D4">
      <w:pPr>
        <w:spacing w:after="0" w:line="276" w:lineRule="auto"/>
        <w:ind w:firstLine="709"/>
        <w:jc w:val="right"/>
      </w:pPr>
      <w:r>
        <w:rPr>
          <w:rFonts w:ascii="Times New Roman" w:eastAsia="Times New Roman" w:hAnsi="Times New Roman"/>
          <w:i/>
          <w:sz w:val="28"/>
        </w:rPr>
        <w:t xml:space="preserve">ρ = m / V,                                                             </w:t>
      </w:r>
      <w:r w:rsidRPr="003E015B">
        <w:rPr>
          <w:rFonts w:ascii="Times New Roman" w:eastAsia="Times New Roman" w:hAnsi="Times New Roman"/>
          <w:iCs/>
          <w:sz w:val="28"/>
        </w:rPr>
        <w:t>(1)</w:t>
      </w:r>
    </w:p>
    <w:p w14:paraId="7783D157" w14:textId="77777777" w:rsidR="003E015B" w:rsidRDefault="003E015B" w:rsidP="001353D4">
      <w:pPr>
        <w:spacing w:after="0" w:line="276" w:lineRule="auto"/>
        <w:ind w:firstLine="709"/>
        <w:jc w:val="both"/>
      </w:pPr>
      <w:r>
        <w:rPr>
          <w:rFonts w:ascii="Times New Roman" w:eastAsia="Times New Roman" w:hAnsi="Times New Roman"/>
          <w:sz w:val="28"/>
        </w:rPr>
        <w:t xml:space="preserve">де </w:t>
      </w:r>
      <w:r w:rsidRPr="003E015B">
        <w:rPr>
          <w:rFonts w:ascii="Times New Roman" w:eastAsia="Times New Roman" w:hAnsi="Times New Roman"/>
          <w:i/>
          <w:iCs/>
          <w:sz w:val="28"/>
        </w:rPr>
        <w:t>ρ</w:t>
      </w:r>
      <w:r>
        <w:rPr>
          <w:rFonts w:ascii="Times New Roman" w:eastAsia="Times New Roman" w:hAnsi="Times New Roman"/>
          <w:sz w:val="28"/>
        </w:rPr>
        <w:t xml:space="preserve"> – середня щільність кормової маси, кг/м³; </w:t>
      </w:r>
      <w:r w:rsidRPr="003E015B">
        <w:rPr>
          <w:rFonts w:ascii="Times New Roman" w:eastAsia="Times New Roman" w:hAnsi="Times New Roman"/>
          <w:i/>
          <w:iCs/>
          <w:sz w:val="28"/>
        </w:rPr>
        <w:t>m</w:t>
      </w:r>
      <w:r>
        <w:rPr>
          <w:rFonts w:ascii="Times New Roman" w:eastAsia="Times New Roman" w:hAnsi="Times New Roman"/>
          <w:sz w:val="28"/>
        </w:rPr>
        <w:t xml:space="preserve"> – маса корму в контейнері, кг; </w:t>
      </w:r>
      <w:r w:rsidRPr="003E015B">
        <w:rPr>
          <w:rFonts w:ascii="Times New Roman" w:eastAsia="Times New Roman" w:hAnsi="Times New Roman"/>
          <w:i/>
          <w:iCs/>
          <w:sz w:val="28"/>
        </w:rPr>
        <w:t>V</w:t>
      </w:r>
      <w:r>
        <w:rPr>
          <w:rFonts w:ascii="Times New Roman" w:eastAsia="Times New Roman" w:hAnsi="Times New Roman"/>
          <w:sz w:val="28"/>
        </w:rPr>
        <w:t xml:space="preserve"> – об’єм, зайнятий кормовою масою, м³.</w:t>
      </w:r>
    </w:p>
    <w:p w14:paraId="1702DDB6" w14:textId="77777777" w:rsidR="003E015B" w:rsidRDefault="003E015B" w:rsidP="001353D4">
      <w:pPr>
        <w:spacing w:after="0" w:line="276" w:lineRule="auto"/>
        <w:ind w:firstLine="709"/>
        <w:jc w:val="both"/>
      </w:pPr>
      <w:r>
        <w:rPr>
          <w:rFonts w:ascii="Times New Roman" w:eastAsia="Times New Roman" w:hAnsi="Times New Roman"/>
          <w:sz w:val="28"/>
        </w:rPr>
        <w:lastRenderedPageBreak/>
        <w:t xml:space="preserve">Підвищення щільності корму сприяє зменшенню об’єму повітряних пор між частинками рослинної маси. До початку анаеробного бродіння кисень, який залишається у </w:t>
      </w:r>
      <w:proofErr w:type="spellStart"/>
      <w:r>
        <w:rPr>
          <w:rFonts w:ascii="Times New Roman" w:eastAsia="Times New Roman" w:hAnsi="Times New Roman"/>
          <w:sz w:val="28"/>
        </w:rPr>
        <w:t>поровому</w:t>
      </w:r>
      <w:proofErr w:type="spellEnd"/>
      <w:r>
        <w:rPr>
          <w:rFonts w:ascii="Times New Roman" w:eastAsia="Times New Roman" w:hAnsi="Times New Roman"/>
          <w:sz w:val="28"/>
        </w:rPr>
        <w:t xml:space="preserve"> просторі, підтримує дихання рослинних клітин та активність аеробної мікрофлори, що супроводжується споживанням легкорозчинних вуглеводів і втратами сухої речовини. Тому зменшення пористості кормового моноліту є одним із найважливіших завдань конструкції контейнера та технології його завантаження. Дослідження процесів силосування підтверджують, що зі збільшенням щільності та зменшенням пористості знижується інтенсивність проникнення кисню в силосовану масу [1, 3].</w:t>
      </w:r>
    </w:p>
    <w:p w14:paraId="64005745" w14:textId="77777777" w:rsidR="003E015B" w:rsidRDefault="003E015B" w:rsidP="001353D4">
      <w:pPr>
        <w:spacing w:after="0" w:line="276" w:lineRule="auto"/>
        <w:ind w:firstLine="709"/>
        <w:jc w:val="both"/>
      </w:pPr>
      <w:r>
        <w:rPr>
          <w:rFonts w:ascii="Times New Roman" w:eastAsia="Times New Roman" w:hAnsi="Times New Roman"/>
          <w:sz w:val="28"/>
        </w:rPr>
        <w:t>У загальному вигляді частку газонаповнених пор можна характеризувати коефіцієнтом пористості</w:t>
      </w:r>
    </w:p>
    <w:p w14:paraId="7C20EF31" w14:textId="12924FD2" w:rsidR="003E015B" w:rsidRDefault="003E015B" w:rsidP="001353D4">
      <w:pPr>
        <w:spacing w:after="0" w:line="276" w:lineRule="auto"/>
        <w:ind w:firstLine="709"/>
        <w:jc w:val="right"/>
      </w:pPr>
      <w:r>
        <w:rPr>
          <w:rFonts w:ascii="Times New Roman" w:eastAsia="Times New Roman" w:hAnsi="Times New Roman"/>
          <w:i/>
          <w:sz w:val="28"/>
        </w:rPr>
        <w:t xml:space="preserve">ε = </w:t>
      </w:r>
      <w:proofErr w:type="spellStart"/>
      <w:r>
        <w:rPr>
          <w:rFonts w:ascii="Times New Roman" w:eastAsia="Times New Roman" w:hAnsi="Times New Roman"/>
          <w:i/>
          <w:sz w:val="28"/>
        </w:rPr>
        <w:t>V</w:t>
      </w:r>
      <w:r w:rsidRPr="003E015B">
        <w:rPr>
          <w:rFonts w:ascii="Times New Roman" w:eastAsia="Times New Roman" w:hAnsi="Times New Roman"/>
          <w:i/>
          <w:sz w:val="28"/>
          <w:vertAlign w:val="subscript"/>
        </w:rPr>
        <w:t>п</w:t>
      </w:r>
      <w:proofErr w:type="spellEnd"/>
      <w:r>
        <w:rPr>
          <w:rFonts w:ascii="Times New Roman" w:eastAsia="Times New Roman" w:hAnsi="Times New Roman"/>
          <w:i/>
          <w:sz w:val="28"/>
        </w:rPr>
        <w:t xml:space="preserve"> / V,                                                        </w:t>
      </w:r>
      <w:r w:rsidRPr="003E015B">
        <w:rPr>
          <w:rFonts w:ascii="Times New Roman" w:eastAsia="Times New Roman" w:hAnsi="Times New Roman"/>
          <w:iCs/>
          <w:sz w:val="28"/>
        </w:rPr>
        <w:t>(2)</w:t>
      </w:r>
    </w:p>
    <w:p w14:paraId="1685380B" w14:textId="77777777" w:rsidR="003E015B" w:rsidRDefault="003E015B" w:rsidP="001353D4">
      <w:pPr>
        <w:spacing w:after="0" w:line="276" w:lineRule="auto"/>
        <w:ind w:firstLine="709"/>
        <w:jc w:val="both"/>
      </w:pPr>
      <w:r>
        <w:rPr>
          <w:rFonts w:ascii="Times New Roman" w:eastAsia="Times New Roman" w:hAnsi="Times New Roman"/>
          <w:sz w:val="28"/>
        </w:rPr>
        <w:t xml:space="preserve">де </w:t>
      </w:r>
      <w:r w:rsidRPr="002B594A">
        <w:rPr>
          <w:rFonts w:ascii="Times New Roman" w:eastAsia="Times New Roman" w:hAnsi="Times New Roman"/>
          <w:i/>
          <w:iCs/>
          <w:sz w:val="28"/>
        </w:rPr>
        <w:t>ε</w:t>
      </w:r>
      <w:r>
        <w:rPr>
          <w:rFonts w:ascii="Times New Roman" w:eastAsia="Times New Roman" w:hAnsi="Times New Roman"/>
          <w:sz w:val="28"/>
        </w:rPr>
        <w:t xml:space="preserve"> – пористість кормового моноліту; </w:t>
      </w:r>
      <w:proofErr w:type="spellStart"/>
      <w:r w:rsidRPr="002B594A">
        <w:rPr>
          <w:rFonts w:ascii="Times New Roman" w:eastAsia="Times New Roman" w:hAnsi="Times New Roman"/>
          <w:i/>
          <w:iCs/>
          <w:sz w:val="28"/>
        </w:rPr>
        <w:t>V</w:t>
      </w:r>
      <w:r w:rsidRPr="002B594A">
        <w:rPr>
          <w:rFonts w:ascii="Times New Roman" w:eastAsia="Times New Roman" w:hAnsi="Times New Roman"/>
          <w:i/>
          <w:iCs/>
          <w:sz w:val="28"/>
          <w:vertAlign w:val="subscript"/>
        </w:rPr>
        <w:t>п</w:t>
      </w:r>
      <w:proofErr w:type="spellEnd"/>
      <w:r>
        <w:rPr>
          <w:rFonts w:ascii="Times New Roman" w:eastAsia="Times New Roman" w:hAnsi="Times New Roman"/>
          <w:sz w:val="28"/>
        </w:rPr>
        <w:t xml:space="preserve"> – сумарний об’єм пор, заповнених газом, м³; </w:t>
      </w:r>
      <w:r w:rsidRPr="002B594A">
        <w:rPr>
          <w:rFonts w:ascii="Times New Roman" w:eastAsia="Times New Roman" w:hAnsi="Times New Roman"/>
          <w:i/>
          <w:iCs/>
          <w:sz w:val="28"/>
        </w:rPr>
        <w:t>V</w:t>
      </w:r>
      <w:r>
        <w:rPr>
          <w:rFonts w:ascii="Times New Roman" w:eastAsia="Times New Roman" w:hAnsi="Times New Roman"/>
          <w:sz w:val="28"/>
        </w:rPr>
        <w:t xml:space="preserve"> – загальний об’єм кормової маси, м³.</w:t>
      </w:r>
    </w:p>
    <w:p w14:paraId="0FC3C09C" w14:textId="77777777" w:rsidR="003E015B" w:rsidRDefault="003E015B" w:rsidP="001353D4">
      <w:pPr>
        <w:spacing w:after="0" w:line="276" w:lineRule="auto"/>
        <w:ind w:firstLine="709"/>
        <w:jc w:val="both"/>
      </w:pPr>
      <w:r>
        <w:rPr>
          <w:rFonts w:ascii="Times New Roman" w:eastAsia="Times New Roman" w:hAnsi="Times New Roman"/>
          <w:sz w:val="28"/>
        </w:rPr>
        <w:t xml:space="preserve">Таким чином, технологічно доцільним є забезпечення максимально можливого значення ρ за одночасного зменшення </w:t>
      </w:r>
      <w:r w:rsidRPr="002B594A">
        <w:rPr>
          <w:rFonts w:ascii="Times New Roman" w:eastAsia="Times New Roman" w:hAnsi="Times New Roman"/>
          <w:i/>
          <w:iCs/>
          <w:sz w:val="28"/>
        </w:rPr>
        <w:t>ε</w:t>
      </w:r>
      <w:r>
        <w:rPr>
          <w:rFonts w:ascii="Times New Roman" w:eastAsia="Times New Roman" w:hAnsi="Times New Roman"/>
          <w:sz w:val="28"/>
        </w:rPr>
        <w:t>, але без надмірного механічного руйнування рослинної сировини та інтенсивного виділення клітинного соку.</w:t>
      </w:r>
    </w:p>
    <w:p w14:paraId="63C0E681" w14:textId="77777777" w:rsidR="003E015B" w:rsidRDefault="003E015B" w:rsidP="001353D4">
      <w:pPr>
        <w:spacing w:after="0" w:line="276" w:lineRule="auto"/>
        <w:ind w:firstLine="709"/>
        <w:jc w:val="both"/>
      </w:pPr>
      <w:r>
        <w:rPr>
          <w:rFonts w:ascii="Times New Roman" w:eastAsia="Times New Roman" w:hAnsi="Times New Roman"/>
          <w:sz w:val="28"/>
        </w:rPr>
        <w:t>Важливим параметром є геометрія контейнера. Зі збільшенням його висоти зростає статичний тиск верхніх шарів корму на нижні, що сприяє їх додатковому ущільненню. Водночас надмірне збільшення висоти за недостатньої жорсткості конструкції може призводити до деформації стінок та утворення локальних зон із пониженою щільністю. У зв’язку з цим співвідношення висоти, ширини або діаметра контейнера необхідно визначати з урахуванням фізико-механічних властивостей кормової маси та способу її ущільнення.</w:t>
      </w:r>
    </w:p>
    <w:p w14:paraId="7A57C7CA" w14:textId="77777777" w:rsidR="003E015B" w:rsidRDefault="003E015B" w:rsidP="001353D4">
      <w:pPr>
        <w:spacing w:after="0" w:line="276" w:lineRule="auto"/>
        <w:ind w:firstLine="709"/>
        <w:jc w:val="both"/>
      </w:pPr>
      <w:r>
        <w:rPr>
          <w:rFonts w:ascii="Times New Roman" w:eastAsia="Times New Roman" w:hAnsi="Times New Roman"/>
          <w:sz w:val="28"/>
        </w:rPr>
        <w:t>Для контейнерів із гнучкими герметичними оболонками перспективним є застосування вакуумування. У цьому випадку зовнішній атмосферний тиск створює додаткове навантаження на кормовий моноліт та забезпечує його ущільнення по всій поверхні. Дослідження технологій силосування в герметичних плівкових контейнерах показують, що вакуумна обробка сприяє формуванню щільного поверхневого шару кормової маси та обмежує переміщення повітря всередину контейнера [4].</w:t>
      </w:r>
    </w:p>
    <w:p w14:paraId="149883ED" w14:textId="77777777" w:rsidR="003E015B" w:rsidRDefault="003E015B" w:rsidP="001353D4">
      <w:pPr>
        <w:spacing w:after="0" w:line="276" w:lineRule="auto"/>
        <w:ind w:firstLine="709"/>
        <w:jc w:val="both"/>
      </w:pPr>
      <w:r>
        <w:rPr>
          <w:rFonts w:ascii="Times New Roman" w:eastAsia="Times New Roman" w:hAnsi="Times New Roman"/>
          <w:sz w:val="28"/>
        </w:rPr>
        <w:t xml:space="preserve">Не менш важливим конструкційним параметром є герметичність контейнера. Навіть за високої початкової щільності кормової маси проникнення атмосферного повітря через нещільності з’єднань, завантажувальний отвір або матеріал оболонки може стати причиною активізації дріжджів і пліснявих грибів, нагрівання силосу та втрат сухої речовини. Тому матеріал стінок або оболонки повинен характеризуватися низькою газопроникністю, достатньою механічною міцністю та стійкістю до пошкоджень у процесі завантаження, транспортування </w:t>
      </w:r>
      <w:r>
        <w:rPr>
          <w:rFonts w:ascii="Times New Roman" w:eastAsia="Times New Roman" w:hAnsi="Times New Roman"/>
          <w:sz w:val="28"/>
        </w:rPr>
        <w:lastRenderedPageBreak/>
        <w:t>і зберігання. Герметизація повинна здійснюватися відразу після закінчення завантаження й ущільнення корму [2, 4].</w:t>
      </w:r>
    </w:p>
    <w:p w14:paraId="3A09D22C" w14:textId="77777777" w:rsidR="003E015B" w:rsidRDefault="003E015B" w:rsidP="001353D4">
      <w:pPr>
        <w:spacing w:after="0" w:line="276" w:lineRule="auto"/>
        <w:ind w:firstLine="709"/>
        <w:jc w:val="both"/>
      </w:pPr>
      <w:r>
        <w:rPr>
          <w:rFonts w:ascii="Times New Roman" w:eastAsia="Times New Roman" w:hAnsi="Times New Roman"/>
          <w:sz w:val="28"/>
        </w:rPr>
        <w:t xml:space="preserve">На ефективність використання об’єму контейнера істотно впливає ступінь подрібнення кормової маси. Подрібнення полегшує укладання та ущільнення сировини, сприяє швидшому витісненню повітря і формуванню анаеробного середовища. Необхідний ступінь подрібнення залежить від виду та вологості рослинної сировини; надмірно груба маса </w:t>
      </w:r>
      <w:proofErr w:type="spellStart"/>
      <w:r>
        <w:rPr>
          <w:rFonts w:ascii="Times New Roman" w:eastAsia="Times New Roman" w:hAnsi="Times New Roman"/>
          <w:sz w:val="28"/>
        </w:rPr>
        <w:t>ущільнюється</w:t>
      </w:r>
      <w:proofErr w:type="spellEnd"/>
      <w:r>
        <w:rPr>
          <w:rFonts w:ascii="Times New Roman" w:eastAsia="Times New Roman" w:hAnsi="Times New Roman"/>
          <w:sz w:val="28"/>
        </w:rPr>
        <w:t xml:space="preserve"> гірше, тоді як надто дрібне подрібнення може негативно впливати на структурні властивості корму [2].</w:t>
      </w:r>
    </w:p>
    <w:p w14:paraId="25D0A8DE" w14:textId="77777777" w:rsidR="003E015B" w:rsidRDefault="003E015B" w:rsidP="001353D4">
      <w:pPr>
        <w:spacing w:after="0" w:line="276" w:lineRule="auto"/>
        <w:ind w:firstLine="709"/>
        <w:jc w:val="both"/>
      </w:pPr>
      <w:r>
        <w:rPr>
          <w:rFonts w:ascii="Times New Roman" w:eastAsia="Times New Roman" w:hAnsi="Times New Roman"/>
          <w:sz w:val="28"/>
        </w:rPr>
        <w:t>Умовно ефективність процесу силосування в контейнері можна представити функціональною залежністю</w:t>
      </w:r>
    </w:p>
    <w:p w14:paraId="50EB200B" w14:textId="6E917844" w:rsidR="003E015B" w:rsidRPr="002B594A" w:rsidRDefault="003E015B" w:rsidP="001353D4">
      <w:pPr>
        <w:spacing w:after="0" w:line="276" w:lineRule="auto"/>
        <w:ind w:firstLine="709"/>
        <w:jc w:val="right"/>
        <w:rPr>
          <w:iCs/>
        </w:rPr>
      </w:pPr>
      <w:proofErr w:type="spellStart"/>
      <w:r>
        <w:rPr>
          <w:rFonts w:ascii="Times New Roman" w:eastAsia="Times New Roman" w:hAnsi="Times New Roman"/>
          <w:i/>
          <w:sz w:val="28"/>
        </w:rPr>
        <w:t>Eс</w:t>
      </w:r>
      <w:proofErr w:type="spellEnd"/>
      <w:r>
        <w:rPr>
          <w:rFonts w:ascii="Times New Roman" w:eastAsia="Times New Roman" w:hAnsi="Times New Roman"/>
          <w:i/>
          <w:sz w:val="28"/>
        </w:rPr>
        <w:t xml:space="preserve"> = f(</w:t>
      </w:r>
      <w:proofErr w:type="spellStart"/>
      <w:r>
        <w:rPr>
          <w:rFonts w:ascii="Times New Roman" w:eastAsia="Times New Roman" w:hAnsi="Times New Roman"/>
          <w:i/>
          <w:sz w:val="28"/>
        </w:rPr>
        <w:t>V</w:t>
      </w:r>
      <w:r w:rsidRPr="002B594A">
        <w:rPr>
          <w:rFonts w:ascii="Times New Roman" w:eastAsia="Times New Roman" w:hAnsi="Times New Roman"/>
          <w:i/>
          <w:sz w:val="28"/>
          <w:vertAlign w:val="subscript"/>
        </w:rPr>
        <w:t>c</w:t>
      </w:r>
      <w:proofErr w:type="spellEnd"/>
      <w:r>
        <w:rPr>
          <w:rFonts w:ascii="Times New Roman" w:eastAsia="Times New Roman" w:hAnsi="Times New Roman"/>
          <w:i/>
          <w:sz w:val="28"/>
        </w:rPr>
        <w:t xml:space="preserve">, H/D, ρ, ε, δ, P, W, l, </w:t>
      </w:r>
      <w:proofErr w:type="spellStart"/>
      <w:r>
        <w:rPr>
          <w:rFonts w:ascii="Times New Roman" w:eastAsia="Times New Roman" w:hAnsi="Times New Roman"/>
          <w:i/>
          <w:sz w:val="28"/>
        </w:rPr>
        <w:t>t</w:t>
      </w:r>
      <w:r w:rsidRPr="002B594A">
        <w:rPr>
          <w:rFonts w:ascii="Times New Roman" w:eastAsia="Times New Roman" w:hAnsi="Times New Roman"/>
          <w:i/>
          <w:sz w:val="28"/>
          <w:vertAlign w:val="subscript"/>
        </w:rPr>
        <w:t>г</w:t>
      </w:r>
      <w:proofErr w:type="spellEnd"/>
      <w:r>
        <w:rPr>
          <w:rFonts w:ascii="Times New Roman" w:eastAsia="Times New Roman" w:hAnsi="Times New Roman"/>
          <w:i/>
          <w:sz w:val="28"/>
        </w:rPr>
        <w:t>),</w:t>
      </w:r>
      <w:r w:rsidR="002B594A">
        <w:rPr>
          <w:rFonts w:ascii="Times New Roman" w:eastAsia="Times New Roman" w:hAnsi="Times New Roman"/>
          <w:iCs/>
          <w:sz w:val="28"/>
        </w:rPr>
        <w:t xml:space="preserve">                                        (3)</w:t>
      </w:r>
    </w:p>
    <w:p w14:paraId="67392634" w14:textId="77777777" w:rsidR="003E015B" w:rsidRDefault="003E015B" w:rsidP="001353D4">
      <w:pPr>
        <w:spacing w:after="0" w:line="276" w:lineRule="auto"/>
        <w:ind w:firstLine="709"/>
        <w:jc w:val="both"/>
      </w:pPr>
      <w:r>
        <w:rPr>
          <w:rFonts w:ascii="Times New Roman" w:eastAsia="Times New Roman" w:hAnsi="Times New Roman"/>
          <w:sz w:val="28"/>
        </w:rPr>
        <w:t xml:space="preserve">де </w:t>
      </w:r>
      <w:proofErr w:type="spellStart"/>
      <w:r>
        <w:rPr>
          <w:rFonts w:ascii="Times New Roman" w:eastAsia="Times New Roman" w:hAnsi="Times New Roman"/>
          <w:sz w:val="28"/>
        </w:rPr>
        <w:t>Eс</w:t>
      </w:r>
      <w:proofErr w:type="spellEnd"/>
      <w:r>
        <w:rPr>
          <w:rFonts w:ascii="Times New Roman" w:eastAsia="Times New Roman" w:hAnsi="Times New Roman"/>
          <w:sz w:val="28"/>
        </w:rPr>
        <w:t xml:space="preserve"> – показник ефективності силосування; </w:t>
      </w:r>
      <w:proofErr w:type="spellStart"/>
      <w:r>
        <w:rPr>
          <w:rFonts w:ascii="Times New Roman" w:eastAsia="Times New Roman" w:hAnsi="Times New Roman"/>
          <w:sz w:val="28"/>
        </w:rPr>
        <w:t>Vc</w:t>
      </w:r>
      <w:proofErr w:type="spellEnd"/>
      <w:r>
        <w:rPr>
          <w:rFonts w:ascii="Times New Roman" w:eastAsia="Times New Roman" w:hAnsi="Times New Roman"/>
          <w:sz w:val="28"/>
        </w:rPr>
        <w:t xml:space="preserve"> – місткість контейнера; H/D – співвідношення основних геометричних параметрів контейнера; ρ – щільність кормової маси; ε – її пористість; δ – параметри стінки або герметичної оболонки; P – тиск ущільнення або величина вакуумного розрідження; W – вологість сировини; l – середній розмір частинок корму; </w:t>
      </w:r>
      <w:proofErr w:type="spellStart"/>
      <w:r>
        <w:rPr>
          <w:rFonts w:ascii="Times New Roman" w:eastAsia="Times New Roman" w:hAnsi="Times New Roman"/>
          <w:sz w:val="28"/>
        </w:rPr>
        <w:t>tг</w:t>
      </w:r>
      <w:proofErr w:type="spellEnd"/>
      <w:r>
        <w:rPr>
          <w:rFonts w:ascii="Times New Roman" w:eastAsia="Times New Roman" w:hAnsi="Times New Roman"/>
          <w:sz w:val="28"/>
        </w:rPr>
        <w:t xml:space="preserve"> – тривалість від завершення завантаження до повної герметизації.</w:t>
      </w:r>
    </w:p>
    <w:p w14:paraId="167B7B6D" w14:textId="77777777" w:rsidR="003E015B" w:rsidRDefault="003E015B" w:rsidP="001353D4">
      <w:pPr>
        <w:spacing w:after="0" w:line="276" w:lineRule="auto"/>
        <w:ind w:firstLine="709"/>
        <w:jc w:val="both"/>
      </w:pPr>
      <w:r>
        <w:rPr>
          <w:rFonts w:ascii="Times New Roman" w:eastAsia="Times New Roman" w:hAnsi="Times New Roman"/>
          <w:sz w:val="28"/>
        </w:rPr>
        <w:t xml:space="preserve">З наведеної залежності видно, що конструктивні й технологічні фактори необхідно розглядати комплексно. Наприклад, збільшення місткості контейнера без відповідної зміни способу ущільнення може призводити до нерівномірного розподілу щільності. Аналогічно, використання </w:t>
      </w:r>
      <w:proofErr w:type="spellStart"/>
      <w:r>
        <w:rPr>
          <w:rFonts w:ascii="Times New Roman" w:eastAsia="Times New Roman" w:hAnsi="Times New Roman"/>
          <w:sz w:val="28"/>
        </w:rPr>
        <w:t>високогерметичної</w:t>
      </w:r>
      <w:proofErr w:type="spellEnd"/>
      <w:r>
        <w:rPr>
          <w:rFonts w:ascii="Times New Roman" w:eastAsia="Times New Roman" w:hAnsi="Times New Roman"/>
          <w:sz w:val="28"/>
        </w:rPr>
        <w:t xml:space="preserve"> оболонки не забезпечить необхідної якості силосу за надмірної пористості кормової маси або тривалого перебування її у контакті з повітрям до герметизації.</w:t>
      </w:r>
    </w:p>
    <w:p w14:paraId="1A3AB29B" w14:textId="77777777" w:rsidR="003E015B" w:rsidRDefault="003E015B" w:rsidP="001353D4">
      <w:pPr>
        <w:spacing w:after="0" w:line="276" w:lineRule="auto"/>
        <w:ind w:firstLine="709"/>
        <w:jc w:val="both"/>
      </w:pPr>
      <w:r>
        <w:rPr>
          <w:rFonts w:ascii="Times New Roman" w:eastAsia="Times New Roman" w:hAnsi="Times New Roman"/>
          <w:sz w:val="28"/>
        </w:rPr>
        <w:t xml:space="preserve">Для інженерного обґрунтування параметрів контейнера доцільно використовувати як основні критерії оптимізації максимальну середню щільність кормового моноліту, мінімальну нерівномірність розподілу щільності за об’ємом, мінімальну пористість, мінімальну проникність конструкції для кисню та скорочення тривалості завантаження і герметизації. За даними оглядових досліджень, щільність та пористість силосу є ключовими фізичними параметрами, які визначають швидкість проникнення кисню та подальшу аеробну стабільність корму. Для традиційних силосних сховищ у науковій літературі як орієнтир наводиться щільність сухої речовини близько 210 кг/м³ і пористість не більше 0,4; конкретні раціональні значення для контейнерної технології мають </w:t>
      </w:r>
      <w:proofErr w:type="spellStart"/>
      <w:r>
        <w:rPr>
          <w:rFonts w:ascii="Times New Roman" w:eastAsia="Times New Roman" w:hAnsi="Times New Roman"/>
          <w:sz w:val="28"/>
        </w:rPr>
        <w:t>уточнюватися</w:t>
      </w:r>
      <w:proofErr w:type="spellEnd"/>
      <w:r>
        <w:rPr>
          <w:rFonts w:ascii="Times New Roman" w:eastAsia="Times New Roman" w:hAnsi="Times New Roman"/>
          <w:sz w:val="28"/>
        </w:rPr>
        <w:t xml:space="preserve"> експериментально залежно від виду кормової сировини та конструкції контейнера [3].</w:t>
      </w:r>
    </w:p>
    <w:p w14:paraId="77120AE6" w14:textId="02FE8329" w:rsidR="003E015B" w:rsidRPr="003E015B" w:rsidRDefault="003E015B" w:rsidP="001353D4">
      <w:pPr>
        <w:spacing w:after="0" w:line="276" w:lineRule="auto"/>
        <w:ind w:firstLine="709"/>
        <w:jc w:val="both"/>
      </w:pPr>
      <w:r>
        <w:rPr>
          <w:rFonts w:ascii="Times New Roman" w:eastAsia="Times New Roman" w:hAnsi="Times New Roman"/>
          <w:sz w:val="28"/>
        </w:rPr>
        <w:t xml:space="preserve">Отже, конструкція контейнера для силосування повинна забезпечувати не лише розміщення заданого об’єму корму, а й створювати необхідні фізичні умови для швидкого переходу від аеробної до анаеробної фази процесу. Найбільш </w:t>
      </w:r>
      <w:r>
        <w:rPr>
          <w:rFonts w:ascii="Times New Roman" w:eastAsia="Times New Roman" w:hAnsi="Times New Roman"/>
          <w:sz w:val="28"/>
        </w:rPr>
        <w:lastRenderedPageBreak/>
        <w:t xml:space="preserve">суттєвий вплив мають геометричні параметри контейнера, міцність і газонепроникність його оболонки, спосіб герметизації, щільність та рівномірність ущільнення кормової маси. Раціональне поєднання зазначених параметрів дозволяє зменшити кількість залишкового повітря, обмежити повторне надходження кисню, стабілізувати молочнокисле бродіння та створити передумови для зниження втрат сухої речовини і збереження поживної цінності корму. Подальші дослідження доцільно спрямувати на встановлення експериментальних </w:t>
      </w:r>
      <w:proofErr w:type="spellStart"/>
      <w:r>
        <w:rPr>
          <w:rFonts w:ascii="Times New Roman" w:eastAsia="Times New Roman" w:hAnsi="Times New Roman"/>
          <w:sz w:val="28"/>
        </w:rPr>
        <w:t>залежностей</w:t>
      </w:r>
      <w:proofErr w:type="spellEnd"/>
      <w:r>
        <w:rPr>
          <w:rFonts w:ascii="Times New Roman" w:eastAsia="Times New Roman" w:hAnsi="Times New Roman"/>
          <w:sz w:val="28"/>
        </w:rPr>
        <w:t xml:space="preserve"> між геометричними параметрами контейнера, величиною ущільнювального навантаження, щільністю кормового моноліту та показниками якості готового силосу з метою визначення раціональних параметрів конструкції.</w:t>
      </w:r>
    </w:p>
    <w:p w14:paraId="0A390322" w14:textId="77777777" w:rsidR="003E015B" w:rsidRPr="003E015B" w:rsidRDefault="003E015B" w:rsidP="001353D4">
      <w:pPr>
        <w:spacing w:after="0" w:line="276" w:lineRule="auto"/>
        <w:ind w:firstLine="709"/>
        <w:jc w:val="both"/>
        <w:rPr>
          <w:rFonts w:ascii="Times New Roman" w:hAnsi="Times New Roman" w:cs="Times New Roman"/>
          <w:sz w:val="28"/>
          <w:szCs w:val="28"/>
        </w:rPr>
      </w:pPr>
    </w:p>
    <w:p w14:paraId="6F5DF515" w14:textId="24CFE094" w:rsidR="003E015B" w:rsidRPr="003E015B" w:rsidRDefault="003E015B" w:rsidP="001353D4">
      <w:pPr>
        <w:spacing w:after="0" w:line="276" w:lineRule="auto"/>
        <w:jc w:val="center"/>
        <w:rPr>
          <w:rFonts w:ascii="Times New Roman" w:hAnsi="Times New Roman" w:cs="Times New Roman"/>
          <w:b/>
          <w:bCs/>
          <w:sz w:val="28"/>
          <w:szCs w:val="28"/>
        </w:rPr>
      </w:pPr>
      <w:r w:rsidRPr="003E015B">
        <w:rPr>
          <w:rFonts w:ascii="Times New Roman" w:hAnsi="Times New Roman" w:cs="Times New Roman"/>
          <w:b/>
          <w:bCs/>
          <w:sz w:val="28"/>
          <w:szCs w:val="28"/>
        </w:rPr>
        <w:t>Список використаних джерел</w:t>
      </w:r>
    </w:p>
    <w:p w14:paraId="6D1DA2EB" w14:textId="55E746DC" w:rsidR="003E015B" w:rsidRPr="003E015B" w:rsidRDefault="003E015B" w:rsidP="001353D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3E015B">
        <w:rPr>
          <w:rFonts w:ascii="Times New Roman" w:hAnsi="Times New Roman" w:cs="Times New Roman"/>
          <w:sz w:val="28"/>
          <w:szCs w:val="28"/>
        </w:rPr>
        <w:t>Borreani</w:t>
      </w:r>
      <w:proofErr w:type="spellEnd"/>
      <w:r w:rsidRPr="003E015B">
        <w:rPr>
          <w:rFonts w:ascii="Times New Roman" w:hAnsi="Times New Roman" w:cs="Times New Roman"/>
          <w:sz w:val="28"/>
          <w:szCs w:val="28"/>
        </w:rPr>
        <w:t xml:space="preserve"> G., </w:t>
      </w:r>
      <w:proofErr w:type="spellStart"/>
      <w:r w:rsidRPr="003E015B">
        <w:rPr>
          <w:rFonts w:ascii="Times New Roman" w:hAnsi="Times New Roman" w:cs="Times New Roman"/>
          <w:sz w:val="28"/>
          <w:szCs w:val="28"/>
        </w:rPr>
        <w:t>Tabacco</w:t>
      </w:r>
      <w:proofErr w:type="spellEnd"/>
      <w:r w:rsidRPr="003E015B">
        <w:rPr>
          <w:rFonts w:ascii="Times New Roman" w:hAnsi="Times New Roman" w:cs="Times New Roman"/>
          <w:sz w:val="28"/>
          <w:szCs w:val="28"/>
        </w:rPr>
        <w:t xml:space="preserve"> E., </w:t>
      </w:r>
      <w:proofErr w:type="spellStart"/>
      <w:r w:rsidRPr="003E015B">
        <w:rPr>
          <w:rFonts w:ascii="Times New Roman" w:hAnsi="Times New Roman" w:cs="Times New Roman"/>
          <w:sz w:val="28"/>
          <w:szCs w:val="28"/>
        </w:rPr>
        <w:t>Schmidt</w:t>
      </w:r>
      <w:proofErr w:type="spellEnd"/>
      <w:r w:rsidRPr="003E015B">
        <w:rPr>
          <w:rFonts w:ascii="Times New Roman" w:hAnsi="Times New Roman" w:cs="Times New Roman"/>
          <w:sz w:val="28"/>
          <w:szCs w:val="28"/>
        </w:rPr>
        <w:t xml:space="preserve"> R. J., </w:t>
      </w:r>
      <w:proofErr w:type="spellStart"/>
      <w:r w:rsidRPr="003E015B">
        <w:rPr>
          <w:rFonts w:ascii="Times New Roman" w:hAnsi="Times New Roman" w:cs="Times New Roman"/>
          <w:sz w:val="28"/>
          <w:szCs w:val="28"/>
        </w:rPr>
        <w:t>Holmes</w:t>
      </w:r>
      <w:proofErr w:type="spellEnd"/>
      <w:r w:rsidRPr="003E015B">
        <w:rPr>
          <w:rFonts w:ascii="Times New Roman" w:hAnsi="Times New Roman" w:cs="Times New Roman"/>
          <w:sz w:val="28"/>
          <w:szCs w:val="28"/>
        </w:rPr>
        <w:t xml:space="preserve"> B. J., </w:t>
      </w:r>
      <w:proofErr w:type="spellStart"/>
      <w:r w:rsidRPr="003E015B">
        <w:rPr>
          <w:rFonts w:ascii="Times New Roman" w:hAnsi="Times New Roman" w:cs="Times New Roman"/>
          <w:sz w:val="28"/>
          <w:szCs w:val="28"/>
        </w:rPr>
        <w:t>Muck</w:t>
      </w:r>
      <w:proofErr w:type="spellEnd"/>
      <w:r w:rsidRPr="003E015B">
        <w:rPr>
          <w:rFonts w:ascii="Times New Roman" w:hAnsi="Times New Roman" w:cs="Times New Roman"/>
          <w:sz w:val="28"/>
          <w:szCs w:val="28"/>
        </w:rPr>
        <w:t xml:space="preserve"> R. E. </w:t>
      </w:r>
      <w:proofErr w:type="spellStart"/>
      <w:r w:rsidRPr="003E015B">
        <w:rPr>
          <w:rFonts w:ascii="Times New Roman" w:hAnsi="Times New Roman" w:cs="Times New Roman"/>
          <w:sz w:val="28"/>
          <w:szCs w:val="28"/>
        </w:rPr>
        <w:t>Silage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review</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Factors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affecting</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dry</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matter</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and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quality</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losses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in</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silages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Journal</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of</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Dairy</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Science</w:t>
      </w:r>
      <w:proofErr w:type="spellEnd"/>
      <w:r w:rsidRPr="003E015B">
        <w:rPr>
          <w:rFonts w:ascii="Times New Roman" w:hAnsi="Times New Roman" w:cs="Times New Roman"/>
          <w:sz w:val="28"/>
          <w:szCs w:val="28"/>
        </w:rPr>
        <w:t xml:space="preserve">. 2018. </w:t>
      </w:r>
      <w:proofErr w:type="spellStart"/>
      <w:r w:rsidRPr="003E015B">
        <w:rPr>
          <w:rFonts w:ascii="Times New Roman" w:hAnsi="Times New Roman" w:cs="Times New Roman"/>
          <w:sz w:val="28"/>
          <w:szCs w:val="28"/>
        </w:rPr>
        <w:t>Vol</w:t>
      </w:r>
      <w:proofErr w:type="spellEnd"/>
      <w:r w:rsidRPr="003E015B">
        <w:rPr>
          <w:rFonts w:ascii="Times New Roman" w:hAnsi="Times New Roman" w:cs="Times New Roman"/>
          <w:sz w:val="28"/>
          <w:szCs w:val="28"/>
        </w:rPr>
        <w:t xml:space="preserve">. 101, </w:t>
      </w:r>
      <w:proofErr w:type="spellStart"/>
      <w:r w:rsidRPr="003E015B">
        <w:rPr>
          <w:rFonts w:ascii="Times New Roman" w:hAnsi="Times New Roman" w:cs="Times New Roman"/>
          <w:sz w:val="28"/>
          <w:szCs w:val="28"/>
        </w:rPr>
        <w:t>No</w:t>
      </w:r>
      <w:proofErr w:type="spellEnd"/>
      <w:r w:rsidRPr="003E015B">
        <w:rPr>
          <w:rFonts w:ascii="Times New Roman" w:hAnsi="Times New Roman" w:cs="Times New Roman"/>
          <w:sz w:val="28"/>
          <w:szCs w:val="28"/>
        </w:rPr>
        <w:t>. 5. P. 3952–3979. DOI: 10.3168/jds.2017-13837.</w:t>
      </w:r>
    </w:p>
    <w:p w14:paraId="0E50416C" w14:textId="24964F7F" w:rsidR="003E015B" w:rsidRPr="003E015B" w:rsidRDefault="003E015B" w:rsidP="001353D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3E015B">
        <w:rPr>
          <w:rFonts w:ascii="Times New Roman" w:hAnsi="Times New Roman" w:cs="Times New Roman"/>
          <w:sz w:val="28"/>
          <w:szCs w:val="28"/>
        </w:rPr>
        <w:t>Jianxin</w:t>
      </w:r>
      <w:proofErr w:type="spellEnd"/>
      <w:r w:rsidRPr="003E015B">
        <w:rPr>
          <w:rFonts w:ascii="Times New Roman" w:hAnsi="Times New Roman" w:cs="Times New Roman"/>
          <w:sz w:val="28"/>
          <w:szCs w:val="28"/>
        </w:rPr>
        <w:t xml:space="preserve"> L., </w:t>
      </w:r>
      <w:proofErr w:type="spellStart"/>
      <w:r w:rsidRPr="003E015B">
        <w:rPr>
          <w:rFonts w:ascii="Times New Roman" w:hAnsi="Times New Roman" w:cs="Times New Roman"/>
          <w:sz w:val="28"/>
          <w:szCs w:val="28"/>
        </w:rPr>
        <w:t>Jun</w:t>
      </w:r>
      <w:proofErr w:type="spellEnd"/>
      <w:r w:rsidRPr="003E015B">
        <w:rPr>
          <w:rFonts w:ascii="Times New Roman" w:hAnsi="Times New Roman" w:cs="Times New Roman"/>
          <w:sz w:val="28"/>
          <w:szCs w:val="28"/>
        </w:rPr>
        <w:t xml:space="preserve"> G. </w:t>
      </w:r>
      <w:proofErr w:type="spellStart"/>
      <w:r w:rsidRPr="003E015B">
        <w:rPr>
          <w:rFonts w:ascii="Times New Roman" w:hAnsi="Times New Roman" w:cs="Times New Roman"/>
          <w:sz w:val="28"/>
          <w:szCs w:val="28"/>
        </w:rPr>
        <w:t>Ensiling</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crop</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residues</w:t>
      </w:r>
      <w:proofErr w:type="spellEnd"/>
      <w:r w:rsidRPr="003E015B">
        <w:rPr>
          <w:rFonts w:ascii="Times New Roman" w:hAnsi="Times New Roman" w:cs="Times New Roman"/>
          <w:sz w:val="28"/>
          <w:szCs w:val="28"/>
        </w:rPr>
        <w:t xml:space="preserve">. FAO: </w:t>
      </w:r>
      <w:proofErr w:type="spellStart"/>
      <w:r w:rsidRPr="003E015B">
        <w:rPr>
          <w:rFonts w:ascii="Times New Roman" w:hAnsi="Times New Roman" w:cs="Times New Roman"/>
          <w:sz w:val="28"/>
          <w:szCs w:val="28"/>
        </w:rPr>
        <w:t>Crop</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Residues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Based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Densified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Total</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Mixed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Ration</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Food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and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Agriculture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Organization</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of</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the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United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Nations</w:t>
      </w:r>
      <w:proofErr w:type="spellEnd"/>
      <w:r w:rsidRPr="003E015B">
        <w:rPr>
          <w:rFonts w:ascii="Times New Roman" w:hAnsi="Times New Roman" w:cs="Times New Roman"/>
          <w:sz w:val="28"/>
          <w:szCs w:val="28"/>
        </w:rPr>
        <w:t>.</w:t>
      </w:r>
    </w:p>
    <w:p w14:paraId="3CF27B1B" w14:textId="3574925B" w:rsidR="003E015B" w:rsidRPr="003E015B" w:rsidRDefault="003E015B" w:rsidP="001353D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3E015B">
        <w:rPr>
          <w:rFonts w:ascii="Times New Roman" w:hAnsi="Times New Roman" w:cs="Times New Roman"/>
          <w:sz w:val="28"/>
          <w:szCs w:val="28"/>
        </w:rPr>
        <w:t>Wilkinson</w:t>
      </w:r>
      <w:proofErr w:type="spellEnd"/>
      <w:r w:rsidRPr="003E015B">
        <w:rPr>
          <w:rFonts w:ascii="Times New Roman" w:hAnsi="Times New Roman" w:cs="Times New Roman"/>
          <w:sz w:val="28"/>
          <w:szCs w:val="28"/>
        </w:rPr>
        <w:t xml:space="preserve"> J. M., </w:t>
      </w:r>
      <w:proofErr w:type="spellStart"/>
      <w:r w:rsidRPr="003E015B">
        <w:rPr>
          <w:rFonts w:ascii="Times New Roman" w:hAnsi="Times New Roman" w:cs="Times New Roman"/>
          <w:sz w:val="28"/>
          <w:szCs w:val="28"/>
        </w:rPr>
        <w:t>Davies</w:t>
      </w:r>
      <w:proofErr w:type="spellEnd"/>
      <w:r w:rsidRPr="003E015B">
        <w:rPr>
          <w:rFonts w:ascii="Times New Roman" w:hAnsi="Times New Roman" w:cs="Times New Roman"/>
          <w:sz w:val="28"/>
          <w:szCs w:val="28"/>
        </w:rPr>
        <w:t xml:space="preserve"> D. R. </w:t>
      </w:r>
      <w:proofErr w:type="spellStart"/>
      <w:r w:rsidRPr="003E015B">
        <w:rPr>
          <w:rFonts w:ascii="Times New Roman" w:hAnsi="Times New Roman" w:cs="Times New Roman"/>
          <w:sz w:val="28"/>
          <w:szCs w:val="28"/>
        </w:rPr>
        <w:t>The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aerobic</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stability</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of</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silage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key</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findings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and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recent</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developments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Grass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and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Forage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Science</w:t>
      </w:r>
      <w:proofErr w:type="spellEnd"/>
      <w:r w:rsidRPr="003E015B">
        <w:rPr>
          <w:rFonts w:ascii="Times New Roman" w:hAnsi="Times New Roman" w:cs="Times New Roman"/>
          <w:sz w:val="28"/>
          <w:szCs w:val="28"/>
        </w:rPr>
        <w:t xml:space="preserve">. 2013. </w:t>
      </w:r>
      <w:proofErr w:type="spellStart"/>
      <w:r w:rsidRPr="003E015B">
        <w:rPr>
          <w:rFonts w:ascii="Times New Roman" w:hAnsi="Times New Roman" w:cs="Times New Roman"/>
          <w:sz w:val="28"/>
          <w:szCs w:val="28"/>
        </w:rPr>
        <w:t>Vol</w:t>
      </w:r>
      <w:proofErr w:type="spellEnd"/>
      <w:r w:rsidRPr="003E015B">
        <w:rPr>
          <w:rFonts w:ascii="Times New Roman" w:hAnsi="Times New Roman" w:cs="Times New Roman"/>
          <w:sz w:val="28"/>
          <w:szCs w:val="28"/>
        </w:rPr>
        <w:t xml:space="preserve">. 68, </w:t>
      </w:r>
      <w:proofErr w:type="spellStart"/>
      <w:r w:rsidRPr="003E015B">
        <w:rPr>
          <w:rFonts w:ascii="Times New Roman" w:hAnsi="Times New Roman" w:cs="Times New Roman"/>
          <w:sz w:val="28"/>
          <w:szCs w:val="28"/>
        </w:rPr>
        <w:t>No</w:t>
      </w:r>
      <w:proofErr w:type="spellEnd"/>
      <w:r w:rsidRPr="003E015B">
        <w:rPr>
          <w:rFonts w:ascii="Times New Roman" w:hAnsi="Times New Roman" w:cs="Times New Roman"/>
          <w:sz w:val="28"/>
          <w:szCs w:val="28"/>
        </w:rPr>
        <w:t>. 1. P. 1–19. DOI: 10.1111/j.1365-2494.2012.00891.x.</w:t>
      </w:r>
    </w:p>
    <w:p w14:paraId="1492ABD6" w14:textId="541F7105" w:rsidR="003E015B" w:rsidRPr="003E015B" w:rsidRDefault="003E015B" w:rsidP="001353D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3E015B">
        <w:rPr>
          <w:rFonts w:ascii="Times New Roman" w:hAnsi="Times New Roman" w:cs="Times New Roman"/>
          <w:sz w:val="28"/>
          <w:szCs w:val="28"/>
        </w:rPr>
        <w:t>Nekrashevich</w:t>
      </w:r>
      <w:proofErr w:type="spellEnd"/>
      <w:r w:rsidRPr="003E015B">
        <w:rPr>
          <w:rFonts w:ascii="Times New Roman" w:hAnsi="Times New Roman" w:cs="Times New Roman"/>
          <w:sz w:val="28"/>
          <w:szCs w:val="28"/>
        </w:rPr>
        <w:t xml:space="preserve"> V., </w:t>
      </w:r>
      <w:proofErr w:type="spellStart"/>
      <w:r w:rsidRPr="003E015B">
        <w:rPr>
          <w:rFonts w:ascii="Times New Roman" w:hAnsi="Times New Roman" w:cs="Times New Roman"/>
          <w:sz w:val="28"/>
          <w:szCs w:val="28"/>
        </w:rPr>
        <w:t>Mamonov</w:t>
      </w:r>
      <w:proofErr w:type="spellEnd"/>
      <w:r w:rsidRPr="003E015B">
        <w:rPr>
          <w:rFonts w:ascii="Times New Roman" w:hAnsi="Times New Roman" w:cs="Times New Roman"/>
          <w:sz w:val="28"/>
          <w:szCs w:val="28"/>
        </w:rPr>
        <w:t xml:space="preserve"> R., </w:t>
      </w:r>
      <w:proofErr w:type="spellStart"/>
      <w:r w:rsidRPr="003E015B">
        <w:rPr>
          <w:rFonts w:ascii="Times New Roman" w:hAnsi="Times New Roman" w:cs="Times New Roman"/>
          <w:sz w:val="28"/>
          <w:szCs w:val="28"/>
        </w:rPr>
        <w:t>Torzhenova</w:t>
      </w:r>
      <w:proofErr w:type="spellEnd"/>
      <w:r w:rsidRPr="003E015B">
        <w:rPr>
          <w:rFonts w:ascii="Times New Roman" w:hAnsi="Times New Roman" w:cs="Times New Roman"/>
          <w:sz w:val="28"/>
          <w:szCs w:val="28"/>
        </w:rPr>
        <w:t xml:space="preserve"> T., </w:t>
      </w:r>
      <w:proofErr w:type="spellStart"/>
      <w:r w:rsidRPr="003E015B">
        <w:rPr>
          <w:rFonts w:ascii="Times New Roman" w:hAnsi="Times New Roman" w:cs="Times New Roman"/>
          <w:sz w:val="28"/>
          <w:szCs w:val="28"/>
        </w:rPr>
        <w:t>Vorobyova</w:t>
      </w:r>
      <w:proofErr w:type="spellEnd"/>
      <w:r w:rsidRPr="003E015B">
        <w:rPr>
          <w:rFonts w:ascii="Times New Roman" w:hAnsi="Times New Roman" w:cs="Times New Roman"/>
          <w:sz w:val="28"/>
          <w:szCs w:val="28"/>
        </w:rPr>
        <w:t xml:space="preserve"> I., </w:t>
      </w:r>
      <w:proofErr w:type="spellStart"/>
      <w:r w:rsidRPr="003E015B">
        <w:rPr>
          <w:rFonts w:ascii="Times New Roman" w:hAnsi="Times New Roman" w:cs="Times New Roman"/>
          <w:sz w:val="28"/>
          <w:szCs w:val="28"/>
        </w:rPr>
        <w:t>Khazimov</w:t>
      </w:r>
      <w:proofErr w:type="spellEnd"/>
      <w:r w:rsidRPr="003E015B">
        <w:rPr>
          <w:rFonts w:ascii="Times New Roman" w:hAnsi="Times New Roman" w:cs="Times New Roman"/>
          <w:sz w:val="28"/>
          <w:szCs w:val="28"/>
        </w:rPr>
        <w:t xml:space="preserve"> M. </w:t>
      </w:r>
      <w:proofErr w:type="spellStart"/>
      <w:r w:rsidRPr="003E015B">
        <w:rPr>
          <w:rFonts w:ascii="Times New Roman" w:hAnsi="Times New Roman" w:cs="Times New Roman"/>
          <w:sz w:val="28"/>
          <w:szCs w:val="28"/>
        </w:rPr>
        <w:t>Theory</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and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practice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of</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feed</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silage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in</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containers</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made</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of</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airtight</w:t>
      </w:r>
      <w:proofErr w:type="spellEnd"/>
      <w:r w:rsidRPr="003E015B">
        <w:rPr>
          <w:rFonts w:ascii="Times New Roman" w:hAnsi="Times New Roman" w:cs="Times New Roman"/>
          <w:sz w:val="28"/>
          <w:szCs w:val="28"/>
        </w:rPr>
        <w:t xml:space="preserve"> </w:t>
      </w:r>
      <w:proofErr w:type="spellStart"/>
      <w:r w:rsidRPr="003E015B">
        <w:rPr>
          <w:rFonts w:ascii="Times New Roman" w:hAnsi="Times New Roman" w:cs="Times New Roman"/>
          <w:sz w:val="28"/>
          <w:szCs w:val="28"/>
        </w:rPr>
        <w:t>film</w:t>
      </w:r>
      <w:proofErr w:type="spellEnd"/>
      <w:r w:rsidRPr="003E015B">
        <w:rPr>
          <w:rFonts w:ascii="Times New Roman" w:hAnsi="Times New Roman" w:cs="Times New Roman"/>
          <w:sz w:val="28"/>
          <w:szCs w:val="28"/>
        </w:rPr>
        <w:t>. 2020.</w:t>
      </w:r>
    </w:p>
    <w:p w14:paraId="15B83129" w14:textId="59D6E9B0" w:rsidR="00A45D75" w:rsidRPr="003E015B" w:rsidRDefault="003E015B" w:rsidP="001353D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3E015B">
        <w:rPr>
          <w:rFonts w:ascii="Times New Roman" w:hAnsi="Times New Roman" w:cs="Times New Roman"/>
          <w:sz w:val="28"/>
          <w:szCs w:val="28"/>
        </w:rPr>
        <w:t>Буцяк</w:t>
      </w:r>
      <w:proofErr w:type="spellEnd"/>
      <w:r w:rsidRPr="003E015B">
        <w:rPr>
          <w:rFonts w:ascii="Times New Roman" w:hAnsi="Times New Roman" w:cs="Times New Roman"/>
          <w:sz w:val="28"/>
          <w:szCs w:val="28"/>
        </w:rPr>
        <w:t xml:space="preserve"> В. І., Кравців Р. Й., </w:t>
      </w:r>
      <w:proofErr w:type="spellStart"/>
      <w:r w:rsidRPr="003E015B">
        <w:rPr>
          <w:rFonts w:ascii="Times New Roman" w:hAnsi="Times New Roman" w:cs="Times New Roman"/>
          <w:sz w:val="28"/>
          <w:szCs w:val="28"/>
        </w:rPr>
        <w:t>Колотницький</w:t>
      </w:r>
      <w:proofErr w:type="spellEnd"/>
      <w:r w:rsidRPr="003E015B">
        <w:rPr>
          <w:rFonts w:ascii="Times New Roman" w:hAnsi="Times New Roman" w:cs="Times New Roman"/>
          <w:sz w:val="28"/>
          <w:szCs w:val="28"/>
        </w:rPr>
        <w:t xml:space="preserve"> А. Г., </w:t>
      </w:r>
      <w:proofErr w:type="spellStart"/>
      <w:r w:rsidRPr="003E015B">
        <w:rPr>
          <w:rFonts w:ascii="Times New Roman" w:hAnsi="Times New Roman" w:cs="Times New Roman"/>
          <w:sz w:val="28"/>
          <w:szCs w:val="28"/>
        </w:rPr>
        <w:t>Буцяк</w:t>
      </w:r>
      <w:proofErr w:type="spellEnd"/>
      <w:r w:rsidRPr="003E015B">
        <w:rPr>
          <w:rFonts w:ascii="Times New Roman" w:hAnsi="Times New Roman" w:cs="Times New Roman"/>
          <w:sz w:val="28"/>
          <w:szCs w:val="28"/>
        </w:rPr>
        <w:t xml:space="preserve"> Г. А. Біотехнологія заготівлі силосу : навчальний посібник. Львів : Тріада плюс, 2008. 126 с.</w:t>
      </w:r>
    </w:p>
    <w:p w14:paraId="0B5EE7A5" w14:textId="77777777" w:rsidR="0042298E" w:rsidRDefault="0042298E" w:rsidP="001353D4">
      <w:pPr>
        <w:spacing w:after="0" w:line="276" w:lineRule="auto"/>
        <w:ind w:firstLine="709"/>
        <w:jc w:val="both"/>
      </w:pPr>
    </w:p>
    <w:p w14:paraId="7D22DDEE" w14:textId="77777777" w:rsidR="00A45D75" w:rsidRDefault="00A45D75" w:rsidP="001353D4">
      <w:pPr>
        <w:spacing w:after="0" w:line="276" w:lineRule="auto"/>
        <w:jc w:val="both"/>
      </w:pPr>
    </w:p>
    <w:sectPr w:rsidR="00A45D75" w:rsidSect="00C71D5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CD4024"/>
    <w:multiLevelType w:val="hybridMultilevel"/>
    <w:tmpl w:val="E68640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65641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C8"/>
    <w:rsid w:val="001353D4"/>
    <w:rsid w:val="002B594A"/>
    <w:rsid w:val="002F645A"/>
    <w:rsid w:val="003E015B"/>
    <w:rsid w:val="00414AE7"/>
    <w:rsid w:val="0042298E"/>
    <w:rsid w:val="00595CB8"/>
    <w:rsid w:val="00804B57"/>
    <w:rsid w:val="00A45D75"/>
    <w:rsid w:val="00C71D5B"/>
    <w:rsid w:val="00E85DC8"/>
    <w:rsid w:val="00FB7972"/>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C222"/>
  <w15:chartTrackingRefBased/>
  <w15:docId w15:val="{D5C5749D-8CD0-4166-BC5E-CC95165B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D5B"/>
  </w:style>
  <w:style w:type="paragraph" w:styleId="1">
    <w:name w:val="heading 1"/>
    <w:basedOn w:val="a"/>
    <w:next w:val="a"/>
    <w:link w:val="10"/>
    <w:uiPriority w:val="9"/>
    <w:qFormat/>
    <w:rsid w:val="00E85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85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85DC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85DC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85DC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85D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85D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5D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85D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5DC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85DC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85DC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85DC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85DC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85D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5DC8"/>
    <w:rPr>
      <w:rFonts w:eastAsiaTheme="majorEastAsia" w:cstheme="majorBidi"/>
      <w:color w:val="595959" w:themeColor="text1" w:themeTint="A6"/>
    </w:rPr>
  </w:style>
  <w:style w:type="character" w:customStyle="1" w:styleId="80">
    <w:name w:val="Заголовок 8 Знак"/>
    <w:basedOn w:val="a0"/>
    <w:link w:val="8"/>
    <w:uiPriority w:val="9"/>
    <w:semiHidden/>
    <w:rsid w:val="00E85D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5DC8"/>
    <w:rPr>
      <w:rFonts w:eastAsiaTheme="majorEastAsia" w:cstheme="majorBidi"/>
      <w:color w:val="272727" w:themeColor="text1" w:themeTint="D8"/>
    </w:rPr>
  </w:style>
  <w:style w:type="paragraph" w:styleId="a3">
    <w:name w:val="Title"/>
    <w:basedOn w:val="a"/>
    <w:next w:val="a"/>
    <w:link w:val="a4"/>
    <w:uiPriority w:val="10"/>
    <w:qFormat/>
    <w:rsid w:val="00E85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85D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5DC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85DC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85DC8"/>
    <w:pPr>
      <w:spacing w:before="160"/>
      <w:jc w:val="center"/>
    </w:pPr>
    <w:rPr>
      <w:i/>
      <w:iCs/>
      <w:color w:val="404040" w:themeColor="text1" w:themeTint="BF"/>
    </w:rPr>
  </w:style>
  <w:style w:type="character" w:customStyle="1" w:styleId="a8">
    <w:name w:val="Цитата Знак"/>
    <w:basedOn w:val="a0"/>
    <w:link w:val="a7"/>
    <w:uiPriority w:val="29"/>
    <w:rsid w:val="00E85DC8"/>
    <w:rPr>
      <w:i/>
      <w:iCs/>
      <w:color w:val="404040" w:themeColor="text1" w:themeTint="BF"/>
    </w:rPr>
  </w:style>
  <w:style w:type="paragraph" w:styleId="a9">
    <w:name w:val="List Paragraph"/>
    <w:basedOn w:val="a"/>
    <w:uiPriority w:val="34"/>
    <w:qFormat/>
    <w:rsid w:val="00E85DC8"/>
    <w:pPr>
      <w:ind w:left="720"/>
      <w:contextualSpacing/>
    </w:pPr>
  </w:style>
  <w:style w:type="character" w:styleId="aa">
    <w:name w:val="Intense Emphasis"/>
    <w:basedOn w:val="a0"/>
    <w:uiPriority w:val="21"/>
    <w:qFormat/>
    <w:rsid w:val="00E85DC8"/>
    <w:rPr>
      <w:i/>
      <w:iCs/>
      <w:color w:val="0F4761" w:themeColor="accent1" w:themeShade="BF"/>
    </w:rPr>
  </w:style>
  <w:style w:type="paragraph" w:styleId="ab">
    <w:name w:val="Intense Quote"/>
    <w:basedOn w:val="a"/>
    <w:next w:val="a"/>
    <w:link w:val="ac"/>
    <w:uiPriority w:val="30"/>
    <w:qFormat/>
    <w:rsid w:val="00E85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85DC8"/>
    <w:rPr>
      <w:i/>
      <w:iCs/>
      <w:color w:val="0F4761" w:themeColor="accent1" w:themeShade="BF"/>
    </w:rPr>
  </w:style>
  <w:style w:type="character" w:styleId="ad">
    <w:name w:val="Intense Reference"/>
    <w:basedOn w:val="a0"/>
    <w:uiPriority w:val="32"/>
    <w:qFormat/>
    <w:rsid w:val="00E85D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5839</Words>
  <Characters>3329</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2026-10-05T14:57:00Z</dcterms:created>
  <dcterms:modified xsi:type="dcterms:W3CDTF">2026-10-05T14:57:00Z</dcterms:modified>
</cp:coreProperties>
</file>