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9C56A" w14:textId="6F7C3476" w:rsidR="00537421" w:rsidRPr="000E1174" w:rsidRDefault="00537421" w:rsidP="005E2FC0">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Pr="00537421">
        <w:rPr>
          <w:rFonts w:ascii="Times New Roman" w:hAnsi="Times New Roman" w:cs="Times New Roman"/>
          <w:sz w:val="28"/>
          <w:szCs w:val="28"/>
        </w:rPr>
        <w:t>631.3:636.085</w:t>
      </w:r>
    </w:p>
    <w:p w14:paraId="65375C68" w14:textId="77777777" w:rsidR="00537421" w:rsidRPr="000E1174" w:rsidRDefault="00537421" w:rsidP="005E2FC0">
      <w:pPr>
        <w:spacing w:after="0" w:line="276" w:lineRule="auto"/>
        <w:rPr>
          <w:rFonts w:ascii="Times New Roman" w:hAnsi="Times New Roman" w:cs="Times New Roman"/>
          <w:sz w:val="28"/>
          <w:szCs w:val="28"/>
        </w:rPr>
      </w:pPr>
    </w:p>
    <w:p w14:paraId="2A0B20C7" w14:textId="10618767" w:rsidR="00537421" w:rsidRDefault="00537421" w:rsidP="005E2FC0">
      <w:pPr>
        <w:spacing w:after="0" w:line="276" w:lineRule="auto"/>
        <w:jc w:val="center"/>
        <w:rPr>
          <w:rFonts w:ascii="Times New Roman" w:hAnsi="Times New Roman" w:cs="Times New Roman"/>
          <w:b/>
          <w:bCs/>
          <w:sz w:val="28"/>
          <w:szCs w:val="28"/>
        </w:rPr>
      </w:pPr>
      <w:r w:rsidRPr="00537421">
        <w:rPr>
          <w:rFonts w:ascii="Times New Roman" w:hAnsi="Times New Roman" w:cs="Times New Roman"/>
          <w:b/>
          <w:bCs/>
          <w:sz w:val="28"/>
          <w:szCs w:val="28"/>
        </w:rPr>
        <w:t>ВПЛИВ ЕКСПЛУАТАЦІЙНОЇ НАДІЙНОСТІ ҐРУНТООБРОБНОЇ ТЕХНІКИ НА СТАБІЛЬНІСТЬ ВИРОБНИЦТВА КОРМІВ</w:t>
      </w:r>
    </w:p>
    <w:p w14:paraId="38CE0F10" w14:textId="77777777" w:rsidR="00537421" w:rsidRDefault="00537421" w:rsidP="005E2FC0">
      <w:pPr>
        <w:spacing w:after="0" w:line="276" w:lineRule="auto"/>
        <w:rPr>
          <w:rFonts w:ascii="Times New Roman" w:hAnsi="Times New Roman" w:cs="Times New Roman"/>
          <w:sz w:val="28"/>
          <w:szCs w:val="28"/>
        </w:rPr>
      </w:pPr>
    </w:p>
    <w:p w14:paraId="07F53F19" w14:textId="317C04C5" w:rsidR="00537421" w:rsidRDefault="00537421" w:rsidP="005E2FC0">
      <w:pPr>
        <w:spacing w:after="0" w:line="276" w:lineRule="auto"/>
        <w:jc w:val="center"/>
        <w:rPr>
          <w:rFonts w:ascii="Times New Roman" w:hAnsi="Times New Roman" w:cs="Times New Roman"/>
          <w:sz w:val="28"/>
          <w:szCs w:val="28"/>
        </w:rPr>
      </w:pPr>
      <w:proofErr w:type="spellStart"/>
      <w:r>
        <w:rPr>
          <w:rFonts w:ascii="Times New Roman" w:hAnsi="Times New Roman" w:cs="Times New Roman"/>
          <w:b/>
          <w:bCs/>
          <w:sz w:val="28"/>
          <w:szCs w:val="28"/>
        </w:rPr>
        <w:t>Борак</w:t>
      </w:r>
      <w:proofErr w:type="spellEnd"/>
      <w:r>
        <w:rPr>
          <w:rFonts w:ascii="Times New Roman" w:hAnsi="Times New Roman" w:cs="Times New Roman"/>
          <w:b/>
          <w:bCs/>
          <w:sz w:val="28"/>
          <w:szCs w:val="28"/>
        </w:rPr>
        <w:t xml:space="preserve"> К.В</w:t>
      </w:r>
      <w:r w:rsidRPr="000E1174">
        <w:rPr>
          <w:rFonts w:ascii="Times New Roman" w:hAnsi="Times New Roman" w:cs="Times New Roman"/>
          <w:b/>
          <w:bCs/>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д.т.н</w:t>
      </w:r>
      <w:proofErr w:type="spellEnd"/>
      <w:r>
        <w:rPr>
          <w:rFonts w:ascii="Times New Roman" w:hAnsi="Times New Roman" w:cs="Times New Roman"/>
          <w:sz w:val="28"/>
          <w:szCs w:val="28"/>
        </w:rPr>
        <w:t xml:space="preserve">., професор, </w:t>
      </w:r>
      <w:proofErr w:type="spellStart"/>
      <w:r>
        <w:rPr>
          <w:rFonts w:ascii="Times New Roman" w:hAnsi="Times New Roman" w:cs="Times New Roman"/>
          <w:b/>
          <w:bCs/>
          <w:sz w:val="28"/>
          <w:szCs w:val="28"/>
        </w:rPr>
        <w:t>Корінчук</w:t>
      </w:r>
      <w:proofErr w:type="spellEnd"/>
      <w:r>
        <w:rPr>
          <w:rFonts w:ascii="Times New Roman" w:hAnsi="Times New Roman" w:cs="Times New Roman"/>
          <w:b/>
          <w:bCs/>
          <w:sz w:val="28"/>
          <w:szCs w:val="28"/>
        </w:rPr>
        <w:t xml:space="preserve"> Д.В. </w:t>
      </w:r>
      <w:r>
        <w:rPr>
          <w:rFonts w:ascii="Times New Roman" w:hAnsi="Times New Roman" w:cs="Times New Roman"/>
          <w:sz w:val="28"/>
          <w:szCs w:val="28"/>
        </w:rPr>
        <w:t>здобувач освіти</w:t>
      </w:r>
    </w:p>
    <w:p w14:paraId="66825C86" w14:textId="77777777" w:rsidR="00537421" w:rsidRPr="004D10A9" w:rsidRDefault="00537421" w:rsidP="005E2FC0">
      <w:pPr>
        <w:spacing w:after="0" w:line="276" w:lineRule="auto"/>
        <w:jc w:val="center"/>
        <w:rPr>
          <w:rFonts w:ascii="Times New Roman" w:hAnsi="Times New Roman" w:cs="Times New Roman"/>
          <w:i/>
          <w:iCs/>
          <w:sz w:val="28"/>
          <w:szCs w:val="28"/>
        </w:rPr>
      </w:pPr>
      <w:r w:rsidRPr="004D10A9">
        <w:rPr>
          <w:rFonts w:ascii="Times New Roman" w:hAnsi="Times New Roman" w:cs="Times New Roman"/>
          <w:i/>
          <w:iCs/>
          <w:sz w:val="28"/>
          <w:szCs w:val="28"/>
        </w:rPr>
        <w:t>Поліський національний університет, м. Житомир</w:t>
      </w:r>
    </w:p>
    <w:p w14:paraId="32247498" w14:textId="77777777" w:rsidR="00537421" w:rsidRDefault="00537421" w:rsidP="005E2FC0">
      <w:pPr>
        <w:spacing w:after="0" w:line="276" w:lineRule="auto"/>
        <w:jc w:val="center"/>
        <w:rPr>
          <w:rFonts w:ascii="Times New Roman" w:hAnsi="Times New Roman" w:cs="Times New Roman"/>
          <w:sz w:val="28"/>
          <w:szCs w:val="28"/>
        </w:rPr>
      </w:pPr>
    </w:p>
    <w:p w14:paraId="2D58CB56"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Стабільне функціонування тваринницької галузі значною мірою залежить від своєчасного формування достатньої та якісної кормової бази. Виробництво кормів являє собою комплекс взаємопов’язаних технологічних операцій, починаючи з підготовки ґрунту та сівби кормових культур і закінчуючи їх збиранням, заготівлею, зберіганням та підготовкою до згодовування. Порушення строків виконання однієї з початкових технологічних операцій може впливати на подальший перебіг усього виробничого циклу. Особливого значення при цьому набуває експлуатаційна надійність ґрунтообробної техніки, оскільки основний та передпосівний обробіток ґрунту здійснюються в обмежені агротехнічні строки.</w:t>
      </w:r>
    </w:p>
    <w:p w14:paraId="6000267A"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 xml:space="preserve">Ґрунтообробні машини експлуатуються в умовах значних та змінних механічних навантажень. Величина сил опору робочим органам залежить від фізико-механічних властивостей ґрунту, його вологості, щільності, швидкості руху агрегату, глибини обробітку та конструктивних параметрів робочих органів. Дослідження надійності ґрунтообробних машин свідчать, що випадковий характер горизонтальних і вертикальних навантажень необхідно враховувати вже на етапі їх </w:t>
      </w:r>
      <w:proofErr w:type="spellStart"/>
      <w:r w:rsidRPr="00537421">
        <w:rPr>
          <w:rFonts w:ascii="Times New Roman" w:hAnsi="Times New Roman" w:cs="Times New Roman"/>
          <w:sz w:val="28"/>
          <w:szCs w:val="28"/>
        </w:rPr>
        <w:t>проєктування</w:t>
      </w:r>
      <w:proofErr w:type="spellEnd"/>
      <w:r w:rsidRPr="00537421">
        <w:rPr>
          <w:rFonts w:ascii="Times New Roman" w:hAnsi="Times New Roman" w:cs="Times New Roman"/>
          <w:sz w:val="28"/>
          <w:szCs w:val="28"/>
        </w:rPr>
        <w:t>, оскільки він безпосередньо пов’язаний з імовірністю виникнення відмов елементів машин [1].</w:t>
      </w:r>
    </w:p>
    <w:p w14:paraId="6BCAD8DB"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 xml:space="preserve">У процесі експлуатації плугів, дискових борін, культиваторів, глибокорозпушувачів та комбінованих ґрунтообробних агрегатів інтенсивному зношуванню піддаються </w:t>
      </w:r>
      <w:proofErr w:type="spellStart"/>
      <w:r w:rsidRPr="00537421">
        <w:rPr>
          <w:rFonts w:ascii="Times New Roman" w:hAnsi="Times New Roman" w:cs="Times New Roman"/>
          <w:sz w:val="28"/>
          <w:szCs w:val="28"/>
        </w:rPr>
        <w:t>лемеші</w:t>
      </w:r>
      <w:proofErr w:type="spellEnd"/>
      <w:r w:rsidRPr="00537421">
        <w:rPr>
          <w:rFonts w:ascii="Times New Roman" w:hAnsi="Times New Roman" w:cs="Times New Roman"/>
          <w:sz w:val="28"/>
          <w:szCs w:val="28"/>
        </w:rPr>
        <w:t xml:space="preserve">, диски, лапи культиваторів, підшипникові вузли та інші елементи, які безпосередньо контактують із ґрунтом або передають значні навантаження. Відомі дослідження експлуатаційної надійності ґрунтообробної техніки підтверджують, що відмови дисків, дискових </w:t>
      </w:r>
      <w:proofErr w:type="spellStart"/>
      <w:r w:rsidRPr="00537421">
        <w:rPr>
          <w:rFonts w:ascii="Times New Roman" w:hAnsi="Times New Roman" w:cs="Times New Roman"/>
          <w:sz w:val="28"/>
          <w:szCs w:val="28"/>
        </w:rPr>
        <w:t>батарей</w:t>
      </w:r>
      <w:proofErr w:type="spellEnd"/>
      <w:r w:rsidRPr="00537421">
        <w:rPr>
          <w:rFonts w:ascii="Times New Roman" w:hAnsi="Times New Roman" w:cs="Times New Roman"/>
          <w:sz w:val="28"/>
          <w:szCs w:val="28"/>
        </w:rPr>
        <w:t xml:space="preserve"> і підшипникових вузлів можуть суттєво знижувати фактичну ефективність використання машин порівняно з їх потенційними технічними можливостями [2].</w:t>
      </w:r>
    </w:p>
    <w:p w14:paraId="51463582"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 xml:space="preserve">Експлуатаційну надійність ґрунтообробної техніки доцільно оцінювати комплексом показників: імовірністю безвідмовної роботи, середнім напрацюванням на відмову, інтенсивністю відмов, середньою тривалістю відновлення працездатності, коефіцієнтом готовності та коефіцієнтом технічного використання. З погляду забезпечення стабільності </w:t>
      </w:r>
      <w:proofErr w:type="spellStart"/>
      <w:r w:rsidRPr="00537421">
        <w:rPr>
          <w:rFonts w:ascii="Times New Roman" w:hAnsi="Times New Roman" w:cs="Times New Roman"/>
          <w:sz w:val="28"/>
          <w:szCs w:val="28"/>
        </w:rPr>
        <w:t>кормовиробництва</w:t>
      </w:r>
      <w:proofErr w:type="spellEnd"/>
      <w:r w:rsidRPr="00537421">
        <w:rPr>
          <w:rFonts w:ascii="Times New Roman" w:hAnsi="Times New Roman" w:cs="Times New Roman"/>
          <w:sz w:val="28"/>
          <w:szCs w:val="28"/>
        </w:rPr>
        <w:t xml:space="preserve"> особливе значення має коефіцієнт готовності машини:</w:t>
      </w:r>
    </w:p>
    <w:p w14:paraId="73003818" w14:textId="317158A2" w:rsidR="00537421" w:rsidRPr="00537421" w:rsidRDefault="00537421" w:rsidP="005E2FC0">
      <w:pPr>
        <w:spacing w:after="0" w:line="276" w:lineRule="auto"/>
        <w:ind w:firstLine="567"/>
        <w:jc w:val="right"/>
        <w:rPr>
          <w:rFonts w:ascii="Times New Roman" w:hAnsi="Times New Roman" w:cs="Times New Roman"/>
          <w:sz w:val="28"/>
          <w:szCs w:val="28"/>
        </w:rPr>
      </w:pPr>
      <w:r w:rsidRPr="00537421">
        <w:rPr>
          <w:rFonts w:ascii="Times New Roman" w:hAnsi="Times New Roman" w:cs="Times New Roman"/>
          <w:i/>
          <w:iCs/>
          <w:sz w:val="28"/>
          <w:szCs w:val="28"/>
        </w:rPr>
        <w:lastRenderedPageBreak/>
        <w:t>К</w:t>
      </w:r>
      <w:r w:rsidRPr="00537421">
        <w:rPr>
          <w:rFonts w:ascii="Times New Roman" w:hAnsi="Times New Roman" w:cs="Times New Roman"/>
          <w:i/>
          <w:iCs/>
          <w:sz w:val="28"/>
          <w:szCs w:val="28"/>
          <w:vertAlign w:val="subscript"/>
        </w:rPr>
        <w:t>г</w:t>
      </w:r>
      <w:r w:rsidRPr="00537421">
        <w:rPr>
          <w:rFonts w:ascii="Times New Roman" w:hAnsi="Times New Roman" w:cs="Times New Roman"/>
          <w:i/>
          <w:iCs/>
          <w:sz w:val="28"/>
          <w:szCs w:val="28"/>
        </w:rPr>
        <w:t xml:space="preserve"> = </w:t>
      </w:r>
      <w:proofErr w:type="spellStart"/>
      <w:r w:rsidRPr="00537421">
        <w:rPr>
          <w:rFonts w:ascii="Times New Roman" w:hAnsi="Times New Roman" w:cs="Times New Roman"/>
          <w:i/>
          <w:iCs/>
          <w:sz w:val="28"/>
          <w:szCs w:val="28"/>
        </w:rPr>
        <w:t>Т</w:t>
      </w:r>
      <w:r w:rsidRPr="00537421">
        <w:rPr>
          <w:rFonts w:ascii="Times New Roman" w:hAnsi="Times New Roman" w:cs="Times New Roman"/>
          <w:i/>
          <w:iCs/>
          <w:sz w:val="28"/>
          <w:szCs w:val="28"/>
          <w:vertAlign w:val="subscript"/>
        </w:rPr>
        <w:t>р</w:t>
      </w:r>
      <w:proofErr w:type="spellEnd"/>
      <w:r w:rsidRPr="00537421">
        <w:rPr>
          <w:rFonts w:ascii="Times New Roman" w:hAnsi="Times New Roman" w:cs="Times New Roman"/>
          <w:i/>
          <w:iCs/>
          <w:sz w:val="28"/>
          <w:szCs w:val="28"/>
        </w:rPr>
        <w:t xml:space="preserve"> / (</w:t>
      </w:r>
      <w:proofErr w:type="spellStart"/>
      <w:r w:rsidRPr="00537421">
        <w:rPr>
          <w:rFonts w:ascii="Times New Roman" w:hAnsi="Times New Roman" w:cs="Times New Roman"/>
          <w:i/>
          <w:iCs/>
          <w:sz w:val="28"/>
          <w:szCs w:val="28"/>
        </w:rPr>
        <w:t>Т</w:t>
      </w:r>
      <w:r w:rsidRPr="00537421">
        <w:rPr>
          <w:rFonts w:ascii="Times New Roman" w:hAnsi="Times New Roman" w:cs="Times New Roman"/>
          <w:i/>
          <w:iCs/>
          <w:sz w:val="28"/>
          <w:szCs w:val="28"/>
          <w:vertAlign w:val="subscript"/>
        </w:rPr>
        <w:t>р</w:t>
      </w:r>
      <w:proofErr w:type="spellEnd"/>
      <w:r w:rsidRPr="00537421">
        <w:rPr>
          <w:rFonts w:ascii="Times New Roman" w:hAnsi="Times New Roman" w:cs="Times New Roman"/>
          <w:i/>
          <w:iCs/>
          <w:sz w:val="28"/>
          <w:szCs w:val="28"/>
        </w:rPr>
        <w:t xml:space="preserve"> + </w:t>
      </w:r>
      <w:proofErr w:type="spellStart"/>
      <w:r w:rsidRPr="00537421">
        <w:rPr>
          <w:rFonts w:ascii="Times New Roman" w:hAnsi="Times New Roman" w:cs="Times New Roman"/>
          <w:i/>
          <w:iCs/>
          <w:sz w:val="28"/>
          <w:szCs w:val="28"/>
        </w:rPr>
        <w:t>Т</w:t>
      </w:r>
      <w:r w:rsidRPr="00537421">
        <w:rPr>
          <w:rFonts w:ascii="Times New Roman" w:hAnsi="Times New Roman" w:cs="Times New Roman"/>
          <w:i/>
          <w:iCs/>
          <w:sz w:val="28"/>
          <w:szCs w:val="28"/>
          <w:vertAlign w:val="subscript"/>
        </w:rPr>
        <w:t>в</w:t>
      </w:r>
      <w:proofErr w:type="spellEnd"/>
      <w:r w:rsidRPr="00537421">
        <w:rPr>
          <w:rFonts w:ascii="Times New Roman" w:hAnsi="Times New Roman" w:cs="Times New Roman"/>
          <w:i/>
          <w:iCs/>
          <w:sz w:val="28"/>
          <w:szCs w:val="28"/>
        </w:rPr>
        <w:t>)</w:t>
      </w:r>
      <w:r w:rsidRPr="00537421">
        <w:rPr>
          <w:rFonts w:ascii="Times New Roman" w:hAnsi="Times New Roman" w:cs="Times New Roman"/>
          <w:sz w:val="28"/>
          <w:szCs w:val="28"/>
        </w:rPr>
        <w:t>,</w:t>
      </w:r>
      <w:r>
        <w:rPr>
          <w:rFonts w:ascii="Times New Roman" w:hAnsi="Times New Roman" w:cs="Times New Roman"/>
          <w:sz w:val="28"/>
          <w:szCs w:val="28"/>
        </w:rPr>
        <w:t xml:space="preserve">                                                  (1)</w:t>
      </w:r>
    </w:p>
    <w:p w14:paraId="229087F7" w14:textId="3B2A0F8B"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 xml:space="preserve">де </w:t>
      </w:r>
      <w:proofErr w:type="spellStart"/>
      <w:r w:rsidRPr="00537421">
        <w:rPr>
          <w:rFonts w:ascii="Times New Roman" w:hAnsi="Times New Roman" w:cs="Times New Roman"/>
          <w:i/>
          <w:iCs/>
          <w:sz w:val="28"/>
          <w:szCs w:val="28"/>
        </w:rPr>
        <w:t>Т</w:t>
      </w:r>
      <w:r w:rsidRPr="00537421">
        <w:rPr>
          <w:rFonts w:ascii="Times New Roman" w:hAnsi="Times New Roman" w:cs="Times New Roman"/>
          <w:i/>
          <w:iCs/>
          <w:sz w:val="28"/>
          <w:szCs w:val="28"/>
          <w:vertAlign w:val="subscript"/>
        </w:rPr>
        <w:t>р</w:t>
      </w:r>
      <w:proofErr w:type="spellEnd"/>
      <w:r w:rsidRPr="00537421">
        <w:rPr>
          <w:rFonts w:ascii="Times New Roman" w:hAnsi="Times New Roman" w:cs="Times New Roman"/>
          <w:sz w:val="28"/>
          <w:szCs w:val="28"/>
        </w:rPr>
        <w:t xml:space="preserve"> </w:t>
      </w:r>
      <w:r>
        <w:rPr>
          <w:rFonts w:ascii="Times New Roman" w:hAnsi="Times New Roman" w:cs="Times New Roman"/>
          <w:sz w:val="28"/>
          <w:szCs w:val="28"/>
        </w:rPr>
        <w:t>–</w:t>
      </w:r>
      <w:r w:rsidRPr="00537421">
        <w:rPr>
          <w:rFonts w:ascii="Times New Roman" w:hAnsi="Times New Roman" w:cs="Times New Roman"/>
          <w:sz w:val="28"/>
          <w:szCs w:val="28"/>
        </w:rPr>
        <w:t xml:space="preserve"> тривалість працездатного стану машини;</w:t>
      </w:r>
    </w:p>
    <w:p w14:paraId="1DBCCF05" w14:textId="1FC10152" w:rsidR="00537421" w:rsidRPr="00537421" w:rsidRDefault="00537421" w:rsidP="005E2FC0">
      <w:pPr>
        <w:spacing w:after="0" w:line="276" w:lineRule="auto"/>
        <w:ind w:firstLine="567"/>
        <w:jc w:val="both"/>
        <w:rPr>
          <w:rFonts w:ascii="Times New Roman" w:hAnsi="Times New Roman" w:cs="Times New Roman"/>
          <w:sz w:val="28"/>
          <w:szCs w:val="28"/>
        </w:rPr>
      </w:pPr>
      <w:proofErr w:type="spellStart"/>
      <w:r w:rsidRPr="00537421">
        <w:rPr>
          <w:rFonts w:ascii="Times New Roman" w:hAnsi="Times New Roman" w:cs="Times New Roman"/>
          <w:i/>
          <w:iCs/>
          <w:sz w:val="28"/>
          <w:szCs w:val="28"/>
        </w:rPr>
        <w:t>Т</w:t>
      </w:r>
      <w:r w:rsidRPr="00537421">
        <w:rPr>
          <w:rFonts w:ascii="Times New Roman" w:hAnsi="Times New Roman" w:cs="Times New Roman"/>
          <w:i/>
          <w:iCs/>
          <w:sz w:val="28"/>
          <w:szCs w:val="28"/>
          <w:vertAlign w:val="subscript"/>
        </w:rPr>
        <w:t>в</w:t>
      </w:r>
      <w:proofErr w:type="spellEnd"/>
      <w:r w:rsidRPr="00537421">
        <w:rPr>
          <w:rFonts w:ascii="Times New Roman" w:hAnsi="Times New Roman" w:cs="Times New Roman"/>
          <w:sz w:val="28"/>
          <w:szCs w:val="28"/>
        </w:rPr>
        <w:t xml:space="preserve"> – тривалість її відновлення після виникнення відмови.</w:t>
      </w:r>
    </w:p>
    <w:p w14:paraId="21FDE4CB"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Зменшення коефіцієнта готовності безпосередньо скорочує час продуктивної роботи машинно-тракторного агрегату. Фактичну експлуатаційну продуктивність ґрунтообробного агрегату спрощено можна представити залежністю:</w:t>
      </w:r>
    </w:p>
    <w:p w14:paraId="20220B11" w14:textId="3729F9A3" w:rsidR="00537421" w:rsidRPr="00537421" w:rsidRDefault="00537421" w:rsidP="005E2FC0">
      <w:pPr>
        <w:spacing w:after="0" w:line="276" w:lineRule="auto"/>
        <w:ind w:firstLine="567"/>
        <w:jc w:val="right"/>
        <w:rPr>
          <w:rFonts w:ascii="Times New Roman" w:hAnsi="Times New Roman" w:cs="Times New Roman"/>
          <w:sz w:val="28"/>
          <w:szCs w:val="28"/>
        </w:rPr>
      </w:pPr>
      <w:proofErr w:type="spellStart"/>
      <w:r w:rsidRPr="00537421">
        <w:rPr>
          <w:rFonts w:ascii="Times New Roman" w:hAnsi="Times New Roman" w:cs="Times New Roman"/>
          <w:i/>
          <w:iCs/>
          <w:sz w:val="28"/>
          <w:szCs w:val="28"/>
        </w:rPr>
        <w:t>W</w:t>
      </w:r>
      <w:r w:rsidRPr="00537421">
        <w:rPr>
          <w:rFonts w:ascii="Times New Roman" w:hAnsi="Times New Roman" w:cs="Times New Roman"/>
          <w:i/>
          <w:iCs/>
          <w:sz w:val="28"/>
          <w:szCs w:val="28"/>
          <w:vertAlign w:val="subscript"/>
        </w:rPr>
        <w:t>е</w:t>
      </w:r>
      <w:proofErr w:type="spellEnd"/>
      <w:r w:rsidRPr="00537421">
        <w:rPr>
          <w:rFonts w:ascii="Times New Roman" w:hAnsi="Times New Roman" w:cs="Times New Roman"/>
          <w:i/>
          <w:iCs/>
          <w:sz w:val="28"/>
          <w:szCs w:val="28"/>
        </w:rPr>
        <w:t xml:space="preserve"> = </w:t>
      </w:r>
      <w:proofErr w:type="spellStart"/>
      <w:r w:rsidRPr="00537421">
        <w:rPr>
          <w:rFonts w:ascii="Times New Roman" w:hAnsi="Times New Roman" w:cs="Times New Roman"/>
          <w:i/>
          <w:iCs/>
          <w:sz w:val="28"/>
          <w:szCs w:val="28"/>
        </w:rPr>
        <w:t>W</w:t>
      </w:r>
      <w:r w:rsidRPr="00537421">
        <w:rPr>
          <w:rFonts w:ascii="Times New Roman" w:hAnsi="Times New Roman" w:cs="Times New Roman"/>
          <w:i/>
          <w:iCs/>
          <w:sz w:val="28"/>
          <w:szCs w:val="28"/>
          <w:vertAlign w:val="subscript"/>
        </w:rPr>
        <w:t>т</w:t>
      </w:r>
      <w:proofErr w:type="spellEnd"/>
      <w:r w:rsidRPr="00537421">
        <w:rPr>
          <w:rFonts w:ascii="Times New Roman" w:hAnsi="Times New Roman" w:cs="Times New Roman"/>
          <w:i/>
          <w:iCs/>
          <w:sz w:val="28"/>
          <w:szCs w:val="28"/>
        </w:rPr>
        <w:t xml:space="preserve"> · К</w:t>
      </w:r>
      <w:r w:rsidRPr="00537421">
        <w:rPr>
          <w:rFonts w:ascii="Times New Roman" w:hAnsi="Times New Roman" w:cs="Times New Roman"/>
          <w:i/>
          <w:iCs/>
          <w:sz w:val="28"/>
          <w:szCs w:val="28"/>
          <w:vertAlign w:val="subscript"/>
        </w:rPr>
        <w:t>г</w:t>
      </w:r>
      <w:r w:rsidRPr="00537421">
        <w:rPr>
          <w:rFonts w:ascii="Times New Roman" w:hAnsi="Times New Roman" w:cs="Times New Roman"/>
          <w:sz w:val="28"/>
          <w:szCs w:val="28"/>
        </w:rPr>
        <w:t>,</w:t>
      </w:r>
      <w:r>
        <w:rPr>
          <w:rFonts w:ascii="Times New Roman" w:hAnsi="Times New Roman" w:cs="Times New Roman"/>
          <w:sz w:val="28"/>
          <w:szCs w:val="28"/>
        </w:rPr>
        <w:t xml:space="preserve">                                                    (2)</w:t>
      </w:r>
    </w:p>
    <w:p w14:paraId="497269D5" w14:textId="76F68CA4"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 xml:space="preserve">де </w:t>
      </w:r>
      <w:proofErr w:type="spellStart"/>
      <w:r w:rsidRPr="00537421">
        <w:rPr>
          <w:rFonts w:ascii="Times New Roman" w:hAnsi="Times New Roman" w:cs="Times New Roman"/>
          <w:i/>
          <w:iCs/>
          <w:sz w:val="28"/>
          <w:szCs w:val="28"/>
        </w:rPr>
        <w:t>W</w:t>
      </w:r>
      <w:r w:rsidRPr="00537421">
        <w:rPr>
          <w:rFonts w:ascii="Times New Roman" w:hAnsi="Times New Roman" w:cs="Times New Roman"/>
          <w:i/>
          <w:iCs/>
          <w:sz w:val="28"/>
          <w:szCs w:val="28"/>
          <w:vertAlign w:val="subscript"/>
        </w:rPr>
        <w:t>е</w:t>
      </w:r>
      <w:proofErr w:type="spellEnd"/>
      <w:r w:rsidRPr="00537421">
        <w:rPr>
          <w:rFonts w:ascii="Times New Roman" w:hAnsi="Times New Roman" w:cs="Times New Roman"/>
          <w:sz w:val="28"/>
          <w:szCs w:val="28"/>
        </w:rPr>
        <w:t xml:space="preserve"> – експлуатаційна продуктивність агрегату;</w:t>
      </w:r>
    </w:p>
    <w:p w14:paraId="4552F89B" w14:textId="5A6ACF73" w:rsidR="00537421" w:rsidRPr="00537421" w:rsidRDefault="00537421" w:rsidP="005E2FC0">
      <w:pPr>
        <w:spacing w:after="0" w:line="276" w:lineRule="auto"/>
        <w:ind w:firstLine="567"/>
        <w:jc w:val="both"/>
        <w:rPr>
          <w:rFonts w:ascii="Times New Roman" w:hAnsi="Times New Roman" w:cs="Times New Roman"/>
          <w:sz w:val="28"/>
          <w:szCs w:val="28"/>
        </w:rPr>
      </w:pPr>
      <w:proofErr w:type="spellStart"/>
      <w:r w:rsidRPr="00537421">
        <w:rPr>
          <w:rFonts w:ascii="Times New Roman" w:hAnsi="Times New Roman" w:cs="Times New Roman"/>
          <w:i/>
          <w:iCs/>
          <w:sz w:val="28"/>
          <w:szCs w:val="28"/>
        </w:rPr>
        <w:t>W</w:t>
      </w:r>
      <w:r w:rsidRPr="00537421">
        <w:rPr>
          <w:rFonts w:ascii="Times New Roman" w:hAnsi="Times New Roman" w:cs="Times New Roman"/>
          <w:i/>
          <w:iCs/>
          <w:sz w:val="28"/>
          <w:szCs w:val="28"/>
          <w:vertAlign w:val="subscript"/>
        </w:rPr>
        <w:t>т</w:t>
      </w:r>
      <w:proofErr w:type="spellEnd"/>
      <w:r w:rsidRPr="00537421">
        <w:rPr>
          <w:rFonts w:ascii="Times New Roman" w:hAnsi="Times New Roman" w:cs="Times New Roman"/>
          <w:i/>
          <w:iCs/>
          <w:sz w:val="28"/>
          <w:szCs w:val="28"/>
        </w:rPr>
        <w:t xml:space="preserve"> </w:t>
      </w:r>
      <w:r w:rsidRPr="00537421">
        <w:rPr>
          <w:rFonts w:ascii="Times New Roman" w:hAnsi="Times New Roman" w:cs="Times New Roman"/>
          <w:sz w:val="28"/>
          <w:szCs w:val="28"/>
        </w:rPr>
        <w:t>–технічна продуктивність;</w:t>
      </w:r>
    </w:p>
    <w:p w14:paraId="1B181F30" w14:textId="6CBEE2C2"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i/>
          <w:iCs/>
          <w:sz w:val="28"/>
          <w:szCs w:val="28"/>
        </w:rPr>
        <w:t>К</w:t>
      </w:r>
      <w:r w:rsidRPr="00537421">
        <w:rPr>
          <w:rFonts w:ascii="Times New Roman" w:hAnsi="Times New Roman" w:cs="Times New Roman"/>
          <w:i/>
          <w:iCs/>
          <w:sz w:val="28"/>
          <w:szCs w:val="28"/>
          <w:vertAlign w:val="subscript"/>
        </w:rPr>
        <w:t>г</w:t>
      </w:r>
      <w:r w:rsidRPr="00537421">
        <w:rPr>
          <w:rFonts w:ascii="Times New Roman" w:hAnsi="Times New Roman" w:cs="Times New Roman"/>
          <w:sz w:val="28"/>
          <w:szCs w:val="28"/>
        </w:rPr>
        <w:t xml:space="preserve"> – коефіцієнт готовності.</w:t>
      </w:r>
    </w:p>
    <w:p w14:paraId="1D2BB5A1"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Таким чином, навіть за високої конструктивної продуктивності машини зниження її технічної готовності через часті відмови та тривалі ремонти призводить до зменшення фактичного обсягу робіт, виконаного за одиницю часу.</w:t>
      </w:r>
    </w:p>
    <w:p w14:paraId="25E218E3"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 xml:space="preserve">Наслідки недостатньої надійності ґрунтообробної техніки для </w:t>
      </w:r>
      <w:proofErr w:type="spellStart"/>
      <w:r w:rsidRPr="00537421">
        <w:rPr>
          <w:rFonts w:ascii="Times New Roman" w:hAnsi="Times New Roman" w:cs="Times New Roman"/>
          <w:sz w:val="28"/>
          <w:szCs w:val="28"/>
        </w:rPr>
        <w:t>кормовиробництва</w:t>
      </w:r>
      <w:proofErr w:type="spellEnd"/>
      <w:r w:rsidRPr="00537421">
        <w:rPr>
          <w:rFonts w:ascii="Times New Roman" w:hAnsi="Times New Roman" w:cs="Times New Roman"/>
          <w:sz w:val="28"/>
          <w:szCs w:val="28"/>
        </w:rPr>
        <w:t xml:space="preserve"> мають системний характер. Виникнення відмови під час основного або передпосівного обробітку спричиняє простій агрегату, зміщення строків завершення підготовки ґрунту та, відповідно, строків сівби кормових культур. За несприятливих погодних умов навіть відносно нетривалий технічний простій може призвести до втрати частини оптимального агротехнічного періоду. У результаті порушується ритмічність проведення польових робіт, збільшується ризик нерівномірного формування посівів та </w:t>
      </w:r>
      <w:proofErr w:type="spellStart"/>
      <w:r w:rsidRPr="00537421">
        <w:rPr>
          <w:rFonts w:ascii="Times New Roman" w:hAnsi="Times New Roman" w:cs="Times New Roman"/>
          <w:sz w:val="28"/>
          <w:szCs w:val="28"/>
        </w:rPr>
        <w:t>ускладнюється</w:t>
      </w:r>
      <w:proofErr w:type="spellEnd"/>
      <w:r w:rsidRPr="00537421">
        <w:rPr>
          <w:rFonts w:ascii="Times New Roman" w:hAnsi="Times New Roman" w:cs="Times New Roman"/>
          <w:sz w:val="28"/>
          <w:szCs w:val="28"/>
        </w:rPr>
        <w:t xml:space="preserve"> планування наступних технологічних операцій.</w:t>
      </w:r>
    </w:p>
    <w:p w14:paraId="7FC65D3B"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Для тваринницьких підприємств ця проблема набуває додаткового значення, оскільки нестабільність виробництва кормових культур може спричиняти коливання обсягів сформованої кормової бази. Надійність окремої машини в такому разі необхідно розглядати не лише як її технічну характеристику, а як складову надійності всієї технологічної системи виробництва кормів. Аналогічний системний підхід застосовується і при дослідженні машин для підготовки та роздавання кормів, для яких показники напрацювання на відмову й тривалості відновлення визначають ефективність виконання технологічного процесу [3].</w:t>
      </w:r>
    </w:p>
    <w:p w14:paraId="59ED4D5F"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 xml:space="preserve">Особливо небезпечними є відмови ґрунтообробної техніки в періоди максимального сезонного завантаження. Якщо господарство має обмежену кількість агрегатів, вихід з ладу одного з них збільшує навантаження на справні машини. Це, у свою чергу, призводить до збільшення добового напрацювання, прискорення зношування деталей і підвищення ймовірності наступних відмов. Формується своєрідний ланцюговий ефект, за якого локальна технічна </w:t>
      </w:r>
      <w:r w:rsidRPr="00537421">
        <w:rPr>
          <w:rFonts w:ascii="Times New Roman" w:hAnsi="Times New Roman" w:cs="Times New Roman"/>
          <w:sz w:val="28"/>
          <w:szCs w:val="28"/>
        </w:rPr>
        <w:lastRenderedPageBreak/>
        <w:t>несправність може трансформуватися у відставання від установленого технологічного графіка.</w:t>
      </w:r>
    </w:p>
    <w:p w14:paraId="3C9B9C1F"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Для кількісної оцінки такого впливу доцільно враховувати сумарну тривалість простоїв техніки:</w:t>
      </w:r>
    </w:p>
    <w:p w14:paraId="65EFD27E" w14:textId="27AF82FD" w:rsidR="00537421" w:rsidRPr="00537421" w:rsidRDefault="00537421" w:rsidP="005E2FC0">
      <w:pPr>
        <w:spacing w:after="0" w:line="276" w:lineRule="auto"/>
        <w:ind w:firstLine="567"/>
        <w:jc w:val="right"/>
        <w:rPr>
          <w:rFonts w:ascii="Times New Roman" w:hAnsi="Times New Roman" w:cs="Times New Roman"/>
          <w:sz w:val="28"/>
          <w:szCs w:val="28"/>
        </w:rPr>
      </w:pPr>
      <w:r w:rsidRPr="00537421">
        <w:rPr>
          <w:rFonts w:ascii="Times New Roman" w:hAnsi="Times New Roman" w:cs="Times New Roman"/>
          <w:i/>
          <w:iCs/>
          <w:sz w:val="28"/>
          <w:szCs w:val="28"/>
        </w:rPr>
        <w:t xml:space="preserve">ΔT = </w:t>
      </w:r>
      <w:proofErr w:type="spellStart"/>
      <w:r w:rsidRPr="00537421">
        <w:rPr>
          <w:rFonts w:ascii="Times New Roman" w:hAnsi="Times New Roman" w:cs="Times New Roman"/>
          <w:i/>
          <w:iCs/>
          <w:sz w:val="28"/>
          <w:szCs w:val="28"/>
        </w:rPr>
        <w:t>Σt</w:t>
      </w:r>
      <w:proofErr w:type="spellEnd"/>
      <w:r w:rsidRPr="00537421">
        <w:rPr>
          <w:rFonts w:ascii="Times New Roman" w:hAnsi="Times New Roman" w:cs="Times New Roman"/>
          <w:i/>
          <w:iCs/>
          <w:sz w:val="28"/>
          <w:szCs w:val="28"/>
        </w:rPr>
        <w:t>ᵢ</w:t>
      </w:r>
      <w:r w:rsidRPr="00537421">
        <w:rPr>
          <w:rFonts w:ascii="Times New Roman" w:hAnsi="Times New Roman" w:cs="Times New Roman"/>
          <w:sz w:val="28"/>
          <w:szCs w:val="28"/>
        </w:rPr>
        <w:t>,</w:t>
      </w:r>
      <w:r>
        <w:rPr>
          <w:rFonts w:ascii="Times New Roman" w:hAnsi="Times New Roman" w:cs="Times New Roman"/>
          <w:sz w:val="28"/>
          <w:szCs w:val="28"/>
        </w:rPr>
        <w:t xml:space="preserve">                                                          (3)</w:t>
      </w:r>
    </w:p>
    <w:p w14:paraId="766628C8" w14:textId="2636D126"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 xml:space="preserve">де </w:t>
      </w:r>
      <w:r w:rsidRPr="00537421">
        <w:rPr>
          <w:rFonts w:ascii="Times New Roman" w:hAnsi="Times New Roman" w:cs="Times New Roman"/>
          <w:i/>
          <w:iCs/>
          <w:sz w:val="28"/>
          <w:szCs w:val="28"/>
        </w:rPr>
        <w:t>tᵢ</w:t>
      </w:r>
      <w:r w:rsidRPr="00537421">
        <w:rPr>
          <w:rFonts w:ascii="Times New Roman" w:hAnsi="Times New Roman" w:cs="Times New Roman"/>
          <w:sz w:val="28"/>
          <w:szCs w:val="28"/>
        </w:rPr>
        <w:t xml:space="preserve"> – тривалість усунення i-ї відмови.</w:t>
      </w:r>
    </w:p>
    <w:p w14:paraId="3C7F41FB" w14:textId="200254D5"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Тоді потенційно невиконаний через технічні простої обсяг ґрунтообробних робіт можна орієнтовно визначити як:</w:t>
      </w:r>
    </w:p>
    <w:p w14:paraId="6B644251" w14:textId="6613940E" w:rsidR="00537421" w:rsidRPr="00537421" w:rsidRDefault="00537421" w:rsidP="005E2FC0">
      <w:pPr>
        <w:spacing w:after="0" w:line="276" w:lineRule="auto"/>
        <w:ind w:firstLine="567"/>
        <w:jc w:val="right"/>
        <w:rPr>
          <w:rFonts w:ascii="Times New Roman" w:hAnsi="Times New Roman" w:cs="Times New Roman"/>
          <w:sz w:val="28"/>
          <w:szCs w:val="28"/>
        </w:rPr>
      </w:pPr>
      <w:r w:rsidRPr="00537421">
        <w:rPr>
          <w:rFonts w:ascii="Times New Roman" w:hAnsi="Times New Roman" w:cs="Times New Roman"/>
          <w:i/>
          <w:iCs/>
          <w:sz w:val="28"/>
          <w:szCs w:val="28"/>
        </w:rPr>
        <w:t xml:space="preserve">ΔS = </w:t>
      </w:r>
      <w:proofErr w:type="spellStart"/>
      <w:r w:rsidRPr="00537421">
        <w:rPr>
          <w:rFonts w:ascii="Times New Roman" w:hAnsi="Times New Roman" w:cs="Times New Roman"/>
          <w:i/>
          <w:iCs/>
          <w:sz w:val="28"/>
          <w:szCs w:val="28"/>
        </w:rPr>
        <w:t>W</w:t>
      </w:r>
      <w:r w:rsidRPr="00537421">
        <w:rPr>
          <w:rFonts w:ascii="Times New Roman" w:hAnsi="Times New Roman" w:cs="Times New Roman"/>
          <w:i/>
          <w:iCs/>
          <w:sz w:val="28"/>
          <w:szCs w:val="28"/>
          <w:vertAlign w:val="subscript"/>
        </w:rPr>
        <w:t>е</w:t>
      </w:r>
      <w:proofErr w:type="spellEnd"/>
      <w:r w:rsidRPr="00537421">
        <w:rPr>
          <w:rFonts w:ascii="Times New Roman" w:hAnsi="Times New Roman" w:cs="Times New Roman"/>
          <w:i/>
          <w:iCs/>
          <w:sz w:val="28"/>
          <w:szCs w:val="28"/>
        </w:rPr>
        <w:t xml:space="preserve"> · ΔT</w:t>
      </w:r>
      <w:r w:rsidRPr="00537421">
        <w:rPr>
          <w:rFonts w:ascii="Times New Roman" w:hAnsi="Times New Roman" w:cs="Times New Roman"/>
          <w:sz w:val="28"/>
          <w:szCs w:val="28"/>
        </w:rPr>
        <w:t>,</w:t>
      </w:r>
      <w:r>
        <w:rPr>
          <w:rFonts w:ascii="Times New Roman" w:hAnsi="Times New Roman" w:cs="Times New Roman"/>
          <w:sz w:val="28"/>
          <w:szCs w:val="28"/>
        </w:rPr>
        <w:t xml:space="preserve"> </w:t>
      </w:r>
      <w:r w:rsidRPr="00537421">
        <w:rPr>
          <w:rFonts w:ascii="Times New Roman" w:hAnsi="Times New Roman" w:cs="Times New Roman"/>
          <w:sz w:val="28"/>
          <w:szCs w:val="28"/>
        </w:rPr>
        <w:t xml:space="preserve">                                                     (</w:t>
      </w:r>
      <w:r>
        <w:rPr>
          <w:rFonts w:ascii="Times New Roman" w:hAnsi="Times New Roman" w:cs="Times New Roman"/>
          <w:sz w:val="28"/>
          <w:szCs w:val="28"/>
        </w:rPr>
        <w:t>4</w:t>
      </w:r>
      <w:r w:rsidRPr="00537421">
        <w:rPr>
          <w:rFonts w:ascii="Times New Roman" w:hAnsi="Times New Roman" w:cs="Times New Roman"/>
          <w:sz w:val="28"/>
          <w:szCs w:val="28"/>
        </w:rPr>
        <w:t>)</w:t>
      </w:r>
    </w:p>
    <w:p w14:paraId="0051050E" w14:textId="2ADEFCF9"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 xml:space="preserve">де </w:t>
      </w:r>
      <w:r w:rsidRPr="00537421">
        <w:rPr>
          <w:rFonts w:ascii="Times New Roman" w:hAnsi="Times New Roman" w:cs="Times New Roman"/>
          <w:i/>
          <w:iCs/>
          <w:sz w:val="28"/>
          <w:szCs w:val="28"/>
        </w:rPr>
        <w:t>ΔS</w:t>
      </w:r>
      <w:r w:rsidRPr="00537421">
        <w:rPr>
          <w:rFonts w:ascii="Times New Roman" w:hAnsi="Times New Roman" w:cs="Times New Roman"/>
          <w:sz w:val="28"/>
          <w:szCs w:val="28"/>
        </w:rPr>
        <w:t xml:space="preserve"> – площа, яка не була оброблена в запланований період;</w:t>
      </w:r>
    </w:p>
    <w:p w14:paraId="3F3BA5A8" w14:textId="54A68DEA" w:rsidR="00537421" w:rsidRPr="00537421" w:rsidRDefault="00537421" w:rsidP="005E2FC0">
      <w:pPr>
        <w:spacing w:after="0" w:line="276" w:lineRule="auto"/>
        <w:ind w:firstLine="567"/>
        <w:jc w:val="both"/>
        <w:rPr>
          <w:rFonts w:ascii="Times New Roman" w:hAnsi="Times New Roman" w:cs="Times New Roman"/>
          <w:sz w:val="28"/>
          <w:szCs w:val="28"/>
        </w:rPr>
      </w:pPr>
      <w:proofErr w:type="spellStart"/>
      <w:r w:rsidRPr="00537421">
        <w:rPr>
          <w:rFonts w:ascii="Times New Roman" w:hAnsi="Times New Roman" w:cs="Times New Roman"/>
          <w:i/>
          <w:iCs/>
          <w:sz w:val="28"/>
          <w:szCs w:val="28"/>
        </w:rPr>
        <w:t>W</w:t>
      </w:r>
      <w:r w:rsidRPr="00537421">
        <w:rPr>
          <w:rFonts w:ascii="Times New Roman" w:hAnsi="Times New Roman" w:cs="Times New Roman"/>
          <w:i/>
          <w:iCs/>
          <w:sz w:val="28"/>
          <w:szCs w:val="28"/>
          <w:vertAlign w:val="subscript"/>
        </w:rPr>
        <w:t>е</w:t>
      </w:r>
      <w:proofErr w:type="spellEnd"/>
      <w:r w:rsidRPr="00537421">
        <w:rPr>
          <w:rFonts w:ascii="Times New Roman" w:hAnsi="Times New Roman" w:cs="Times New Roman"/>
          <w:sz w:val="28"/>
          <w:szCs w:val="28"/>
        </w:rPr>
        <w:t xml:space="preserve"> – експлуатаційна продуктивність агрегату;</w:t>
      </w:r>
    </w:p>
    <w:p w14:paraId="6E4EE104" w14:textId="1E641D1F"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i/>
          <w:iCs/>
          <w:sz w:val="28"/>
          <w:szCs w:val="28"/>
        </w:rPr>
        <w:t>ΔT</w:t>
      </w:r>
      <w:r w:rsidRPr="00537421">
        <w:rPr>
          <w:rFonts w:ascii="Times New Roman" w:hAnsi="Times New Roman" w:cs="Times New Roman"/>
          <w:sz w:val="28"/>
          <w:szCs w:val="28"/>
        </w:rPr>
        <w:t xml:space="preserve"> – сумарний час простоїв.</w:t>
      </w:r>
    </w:p>
    <w:p w14:paraId="29798C8F"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Зазначена залежність показує, що вплив надійності найбільш відчутний для високопродуктивних агрегатів і в умовах жорстко обмежених агротехнічних строків. Чим більшою є добова потреба господарства у виконанні ґрунтообробних робіт, тим вищими можуть бути технологічні наслідки кожної години простою.</w:t>
      </w:r>
    </w:p>
    <w:p w14:paraId="49C95E09"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Підвищення експлуатаційної надійності ґрунтообробної техніки повинно передбачати комплекс взаємопов’язаних заходів. До них належать своєчасне технічне обслуговування, контроль стану робочих органів і підшипникових вузлів, прогнозування залишкового ресурсу найбільш навантажених деталей, забезпечення господарства необхідним запасом швидкозношуваних елементів, скорочення часу діагностування та ремонту, а також застосування зносостійких матеріалів і технологій зміцнення робочих поверхонь. Системне технічне обслуговування та використання нормативів працездатності сільськогосподарських машин є важливими складовими підвищення ефективності їх експлуатації [4].</w:t>
      </w:r>
    </w:p>
    <w:p w14:paraId="45638352"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 xml:space="preserve">Перспективним напрямом є перехід від переважно реактивного принципу обслуговування, за якого ремонт виконується після відмови, до обслуговування за фактичним технічним станом. Використання засобів контролю вібрації, температури підшипникових вузлів, параметрів навантаження та напрацювання дозволяє раніше виявляти розвиток </w:t>
      </w:r>
      <w:proofErr w:type="spellStart"/>
      <w:r w:rsidRPr="00537421">
        <w:rPr>
          <w:rFonts w:ascii="Times New Roman" w:hAnsi="Times New Roman" w:cs="Times New Roman"/>
          <w:sz w:val="28"/>
          <w:szCs w:val="28"/>
        </w:rPr>
        <w:t>несправностей</w:t>
      </w:r>
      <w:proofErr w:type="spellEnd"/>
      <w:r w:rsidRPr="00537421">
        <w:rPr>
          <w:rFonts w:ascii="Times New Roman" w:hAnsi="Times New Roman" w:cs="Times New Roman"/>
          <w:sz w:val="28"/>
          <w:szCs w:val="28"/>
        </w:rPr>
        <w:t xml:space="preserve"> і планувати технічні втручання у періоди, коли вони найменше впливають на виконання польових робіт. Сучасні дослідження систем діагностування сільськогосподарської техніки також акцентують увагу на переході до прогнозування </w:t>
      </w:r>
      <w:proofErr w:type="spellStart"/>
      <w:r w:rsidRPr="00537421">
        <w:rPr>
          <w:rFonts w:ascii="Times New Roman" w:hAnsi="Times New Roman" w:cs="Times New Roman"/>
          <w:sz w:val="28"/>
          <w:szCs w:val="28"/>
        </w:rPr>
        <w:t>несправностей</w:t>
      </w:r>
      <w:proofErr w:type="spellEnd"/>
      <w:r w:rsidRPr="00537421">
        <w:rPr>
          <w:rFonts w:ascii="Times New Roman" w:hAnsi="Times New Roman" w:cs="Times New Roman"/>
          <w:sz w:val="28"/>
          <w:szCs w:val="28"/>
        </w:rPr>
        <w:t xml:space="preserve"> та </w:t>
      </w:r>
      <w:proofErr w:type="spellStart"/>
      <w:r w:rsidRPr="00537421">
        <w:rPr>
          <w:rFonts w:ascii="Times New Roman" w:hAnsi="Times New Roman" w:cs="Times New Roman"/>
          <w:sz w:val="28"/>
          <w:szCs w:val="28"/>
        </w:rPr>
        <w:t>проактивного</w:t>
      </w:r>
      <w:proofErr w:type="spellEnd"/>
      <w:r w:rsidRPr="00537421">
        <w:rPr>
          <w:rFonts w:ascii="Times New Roman" w:hAnsi="Times New Roman" w:cs="Times New Roman"/>
          <w:sz w:val="28"/>
          <w:szCs w:val="28"/>
        </w:rPr>
        <w:t xml:space="preserve"> технічного обслуговування.</w:t>
      </w:r>
    </w:p>
    <w:p w14:paraId="5C8878B9" w14:textId="77777777" w:rsidR="00537421" w:rsidRPr="00537421" w:rsidRDefault="00537421" w:rsidP="005E2FC0">
      <w:pPr>
        <w:spacing w:after="0" w:line="276" w:lineRule="auto"/>
        <w:ind w:firstLine="567"/>
        <w:jc w:val="both"/>
        <w:rPr>
          <w:rFonts w:ascii="Times New Roman" w:hAnsi="Times New Roman" w:cs="Times New Roman"/>
          <w:sz w:val="28"/>
          <w:szCs w:val="28"/>
        </w:rPr>
      </w:pPr>
      <w:r w:rsidRPr="00537421">
        <w:rPr>
          <w:rFonts w:ascii="Times New Roman" w:hAnsi="Times New Roman" w:cs="Times New Roman"/>
          <w:sz w:val="28"/>
          <w:szCs w:val="28"/>
        </w:rPr>
        <w:t xml:space="preserve">Таким чином, експлуатаційна надійність ґрунтообробної техніки є одним із важливих технічних чинників стабільності </w:t>
      </w:r>
      <w:proofErr w:type="spellStart"/>
      <w:r w:rsidRPr="00537421">
        <w:rPr>
          <w:rFonts w:ascii="Times New Roman" w:hAnsi="Times New Roman" w:cs="Times New Roman"/>
          <w:sz w:val="28"/>
          <w:szCs w:val="28"/>
        </w:rPr>
        <w:t>кормовиробництва</w:t>
      </w:r>
      <w:proofErr w:type="spellEnd"/>
      <w:r w:rsidRPr="00537421">
        <w:rPr>
          <w:rFonts w:ascii="Times New Roman" w:hAnsi="Times New Roman" w:cs="Times New Roman"/>
          <w:sz w:val="28"/>
          <w:szCs w:val="28"/>
        </w:rPr>
        <w:t xml:space="preserve">. Відмови машин не обмежуються безпосередніми витратами на ремонт, а спричиняють </w:t>
      </w:r>
      <w:r w:rsidRPr="00537421">
        <w:rPr>
          <w:rFonts w:ascii="Times New Roman" w:hAnsi="Times New Roman" w:cs="Times New Roman"/>
          <w:sz w:val="28"/>
          <w:szCs w:val="28"/>
        </w:rPr>
        <w:lastRenderedPageBreak/>
        <w:t>технологічні простої, зниження фактичної продуктивності агрегатів, порушення агротехнічних строків та зростання ризику невиконання запланованих обсягів виробництва кормових культур. Підвищення безвідмовності, ремонтопридатності та технічної готовності ґрунтообробної техніки дає можливість забезпечити ритмічність польових робіт, більш повне використання агротехнічних строків і створити передумови для стабільного забезпечення тваринницької галузі кормовими ресурсами.</w:t>
      </w:r>
    </w:p>
    <w:p w14:paraId="7A8C2DAA" w14:textId="77777777" w:rsidR="00537421" w:rsidRPr="00537421" w:rsidRDefault="00537421" w:rsidP="005E2FC0">
      <w:pPr>
        <w:spacing w:after="0" w:line="276" w:lineRule="auto"/>
        <w:ind w:firstLine="567"/>
        <w:jc w:val="both"/>
        <w:rPr>
          <w:rFonts w:ascii="Times New Roman" w:hAnsi="Times New Roman" w:cs="Times New Roman"/>
          <w:sz w:val="28"/>
          <w:szCs w:val="28"/>
        </w:rPr>
      </w:pPr>
    </w:p>
    <w:p w14:paraId="773EAF8A" w14:textId="0AA3D4DA" w:rsidR="00537421" w:rsidRPr="00537421" w:rsidRDefault="00537421" w:rsidP="005E2FC0">
      <w:pPr>
        <w:spacing w:after="0" w:line="276" w:lineRule="auto"/>
        <w:jc w:val="center"/>
        <w:rPr>
          <w:rFonts w:ascii="Times New Roman" w:hAnsi="Times New Roman" w:cs="Times New Roman"/>
          <w:b/>
          <w:bCs/>
          <w:sz w:val="28"/>
          <w:szCs w:val="28"/>
        </w:rPr>
      </w:pPr>
      <w:r w:rsidRPr="00537421">
        <w:rPr>
          <w:rFonts w:ascii="Times New Roman" w:hAnsi="Times New Roman" w:cs="Times New Roman"/>
          <w:b/>
          <w:bCs/>
          <w:sz w:val="28"/>
          <w:szCs w:val="28"/>
        </w:rPr>
        <w:t>Список використаних джерел</w:t>
      </w:r>
    </w:p>
    <w:p w14:paraId="3AE149E1" w14:textId="77777777" w:rsidR="00537421" w:rsidRPr="00537421" w:rsidRDefault="00537421" w:rsidP="005E2FC0">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537421">
        <w:rPr>
          <w:rFonts w:ascii="Times New Roman" w:hAnsi="Times New Roman" w:cs="Times New Roman"/>
          <w:sz w:val="28"/>
          <w:szCs w:val="28"/>
        </w:rPr>
        <w:t>Abo</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Al-Kheer</w:t>
      </w:r>
      <w:proofErr w:type="spellEnd"/>
      <w:r w:rsidRPr="00537421">
        <w:rPr>
          <w:rFonts w:ascii="Times New Roman" w:hAnsi="Times New Roman" w:cs="Times New Roman"/>
          <w:sz w:val="28"/>
          <w:szCs w:val="28"/>
        </w:rPr>
        <w:t xml:space="preserve"> A., </w:t>
      </w:r>
      <w:proofErr w:type="spellStart"/>
      <w:r w:rsidRPr="00537421">
        <w:rPr>
          <w:rFonts w:ascii="Times New Roman" w:hAnsi="Times New Roman" w:cs="Times New Roman"/>
          <w:sz w:val="28"/>
          <w:szCs w:val="28"/>
        </w:rPr>
        <w:t>El-Hami</w:t>
      </w:r>
      <w:proofErr w:type="spellEnd"/>
      <w:r w:rsidRPr="00537421">
        <w:rPr>
          <w:rFonts w:ascii="Times New Roman" w:hAnsi="Times New Roman" w:cs="Times New Roman"/>
          <w:sz w:val="28"/>
          <w:szCs w:val="28"/>
        </w:rPr>
        <w:t xml:space="preserve"> A., </w:t>
      </w:r>
      <w:proofErr w:type="spellStart"/>
      <w:r w:rsidRPr="00537421">
        <w:rPr>
          <w:rFonts w:ascii="Times New Roman" w:hAnsi="Times New Roman" w:cs="Times New Roman"/>
          <w:sz w:val="28"/>
          <w:szCs w:val="28"/>
        </w:rPr>
        <w:t>Kharmanda</w:t>
      </w:r>
      <w:proofErr w:type="spellEnd"/>
      <w:r w:rsidRPr="00537421">
        <w:rPr>
          <w:rFonts w:ascii="Times New Roman" w:hAnsi="Times New Roman" w:cs="Times New Roman"/>
          <w:sz w:val="28"/>
          <w:szCs w:val="28"/>
        </w:rPr>
        <w:t xml:space="preserve"> G., </w:t>
      </w:r>
      <w:proofErr w:type="spellStart"/>
      <w:r w:rsidRPr="00537421">
        <w:rPr>
          <w:rFonts w:ascii="Times New Roman" w:hAnsi="Times New Roman" w:cs="Times New Roman"/>
          <w:sz w:val="28"/>
          <w:szCs w:val="28"/>
        </w:rPr>
        <w:t>Mouazen</w:t>
      </w:r>
      <w:proofErr w:type="spellEnd"/>
      <w:r w:rsidRPr="00537421">
        <w:rPr>
          <w:rFonts w:ascii="Times New Roman" w:hAnsi="Times New Roman" w:cs="Times New Roman"/>
          <w:sz w:val="28"/>
          <w:szCs w:val="28"/>
        </w:rPr>
        <w:t xml:space="preserve"> A. M. </w:t>
      </w:r>
      <w:proofErr w:type="spellStart"/>
      <w:r w:rsidRPr="00537421">
        <w:rPr>
          <w:rFonts w:ascii="Times New Roman" w:hAnsi="Times New Roman" w:cs="Times New Roman"/>
          <w:sz w:val="28"/>
          <w:szCs w:val="28"/>
        </w:rPr>
        <w:t>Reliability-based</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design</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for</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soil</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tillage</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machines</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Journal</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of</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Terramechanics</w:t>
      </w:r>
      <w:proofErr w:type="spellEnd"/>
      <w:r w:rsidRPr="00537421">
        <w:rPr>
          <w:rFonts w:ascii="Times New Roman" w:hAnsi="Times New Roman" w:cs="Times New Roman"/>
          <w:sz w:val="28"/>
          <w:szCs w:val="28"/>
        </w:rPr>
        <w:t xml:space="preserve">. 2011. </w:t>
      </w:r>
      <w:proofErr w:type="spellStart"/>
      <w:r w:rsidRPr="00537421">
        <w:rPr>
          <w:rFonts w:ascii="Times New Roman" w:hAnsi="Times New Roman" w:cs="Times New Roman"/>
          <w:sz w:val="28"/>
          <w:szCs w:val="28"/>
        </w:rPr>
        <w:t>Vol</w:t>
      </w:r>
      <w:proofErr w:type="spellEnd"/>
      <w:r w:rsidRPr="00537421">
        <w:rPr>
          <w:rFonts w:ascii="Times New Roman" w:hAnsi="Times New Roman" w:cs="Times New Roman"/>
          <w:sz w:val="28"/>
          <w:szCs w:val="28"/>
        </w:rPr>
        <w:t xml:space="preserve">. 48, </w:t>
      </w:r>
      <w:proofErr w:type="spellStart"/>
      <w:r w:rsidRPr="00537421">
        <w:rPr>
          <w:rFonts w:ascii="Times New Roman" w:hAnsi="Times New Roman" w:cs="Times New Roman"/>
          <w:sz w:val="28"/>
          <w:szCs w:val="28"/>
        </w:rPr>
        <w:t>No</w:t>
      </w:r>
      <w:proofErr w:type="spellEnd"/>
      <w:r w:rsidRPr="00537421">
        <w:rPr>
          <w:rFonts w:ascii="Times New Roman" w:hAnsi="Times New Roman" w:cs="Times New Roman"/>
          <w:sz w:val="28"/>
          <w:szCs w:val="28"/>
        </w:rPr>
        <w:t>. 1. P. 57–64. DOI: 10.1016/j.jterra.2010.06.001.</w:t>
      </w:r>
    </w:p>
    <w:p w14:paraId="66755ECD" w14:textId="77777777" w:rsidR="00537421" w:rsidRPr="00537421" w:rsidRDefault="00537421" w:rsidP="005E2FC0">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537421">
        <w:rPr>
          <w:rFonts w:ascii="Times New Roman" w:hAnsi="Times New Roman" w:cs="Times New Roman"/>
          <w:sz w:val="28"/>
          <w:szCs w:val="28"/>
        </w:rPr>
        <w:t>Olaoye</w:t>
      </w:r>
      <w:proofErr w:type="spellEnd"/>
      <w:r w:rsidRPr="00537421">
        <w:rPr>
          <w:rFonts w:ascii="Times New Roman" w:hAnsi="Times New Roman" w:cs="Times New Roman"/>
          <w:sz w:val="28"/>
          <w:szCs w:val="28"/>
        </w:rPr>
        <w:t xml:space="preserve"> J. O., </w:t>
      </w:r>
      <w:proofErr w:type="spellStart"/>
      <w:r w:rsidRPr="00537421">
        <w:rPr>
          <w:rFonts w:ascii="Times New Roman" w:hAnsi="Times New Roman" w:cs="Times New Roman"/>
          <w:sz w:val="28"/>
          <w:szCs w:val="28"/>
        </w:rPr>
        <w:t>Adekanye</w:t>
      </w:r>
      <w:proofErr w:type="spellEnd"/>
      <w:r w:rsidRPr="00537421">
        <w:rPr>
          <w:rFonts w:ascii="Times New Roman" w:hAnsi="Times New Roman" w:cs="Times New Roman"/>
          <w:sz w:val="28"/>
          <w:szCs w:val="28"/>
        </w:rPr>
        <w:t xml:space="preserve"> T. A. A </w:t>
      </w:r>
      <w:proofErr w:type="spellStart"/>
      <w:r w:rsidRPr="00537421">
        <w:rPr>
          <w:rFonts w:ascii="Times New Roman" w:hAnsi="Times New Roman" w:cs="Times New Roman"/>
          <w:sz w:val="28"/>
          <w:szCs w:val="28"/>
        </w:rPr>
        <w:t>survey</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of</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reliability</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of</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tillage</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equipment</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in</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Osun</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State</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Nigeria</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Ethiopian</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Journal</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of</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Environmental</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Studies</w:t>
      </w:r>
      <w:proofErr w:type="spellEnd"/>
      <w:r w:rsidRPr="00537421">
        <w:rPr>
          <w:rFonts w:ascii="Times New Roman" w:hAnsi="Times New Roman" w:cs="Times New Roman"/>
          <w:sz w:val="28"/>
          <w:szCs w:val="28"/>
        </w:rPr>
        <w:t xml:space="preserve"> &amp; </w:t>
      </w:r>
      <w:proofErr w:type="spellStart"/>
      <w:r w:rsidRPr="00537421">
        <w:rPr>
          <w:rFonts w:ascii="Times New Roman" w:hAnsi="Times New Roman" w:cs="Times New Roman"/>
          <w:sz w:val="28"/>
          <w:szCs w:val="28"/>
        </w:rPr>
        <w:t>Management</w:t>
      </w:r>
      <w:proofErr w:type="spellEnd"/>
      <w:r w:rsidRPr="00537421">
        <w:rPr>
          <w:rFonts w:ascii="Times New Roman" w:hAnsi="Times New Roman" w:cs="Times New Roman"/>
          <w:sz w:val="28"/>
          <w:szCs w:val="28"/>
        </w:rPr>
        <w:t xml:space="preserve">. 2015. </w:t>
      </w:r>
      <w:proofErr w:type="spellStart"/>
      <w:r w:rsidRPr="00537421">
        <w:rPr>
          <w:rFonts w:ascii="Times New Roman" w:hAnsi="Times New Roman" w:cs="Times New Roman"/>
          <w:sz w:val="28"/>
          <w:szCs w:val="28"/>
        </w:rPr>
        <w:t>Vol</w:t>
      </w:r>
      <w:proofErr w:type="spellEnd"/>
      <w:r w:rsidRPr="00537421">
        <w:rPr>
          <w:rFonts w:ascii="Times New Roman" w:hAnsi="Times New Roman" w:cs="Times New Roman"/>
          <w:sz w:val="28"/>
          <w:szCs w:val="28"/>
        </w:rPr>
        <w:t xml:space="preserve">. 8, </w:t>
      </w:r>
      <w:proofErr w:type="spellStart"/>
      <w:r w:rsidRPr="00537421">
        <w:rPr>
          <w:rFonts w:ascii="Times New Roman" w:hAnsi="Times New Roman" w:cs="Times New Roman"/>
          <w:sz w:val="28"/>
          <w:szCs w:val="28"/>
        </w:rPr>
        <w:t>No</w:t>
      </w:r>
      <w:proofErr w:type="spellEnd"/>
      <w:r w:rsidRPr="00537421">
        <w:rPr>
          <w:rFonts w:ascii="Times New Roman" w:hAnsi="Times New Roman" w:cs="Times New Roman"/>
          <w:sz w:val="28"/>
          <w:szCs w:val="28"/>
        </w:rPr>
        <w:t>. 1. P. 1–12. DOI: 10.4314/ejesm.v8i1.1.</w:t>
      </w:r>
    </w:p>
    <w:p w14:paraId="3030782E" w14:textId="77777777" w:rsidR="00537421" w:rsidRPr="00537421" w:rsidRDefault="00537421" w:rsidP="005E2FC0">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537421">
        <w:rPr>
          <w:rFonts w:ascii="Times New Roman" w:hAnsi="Times New Roman" w:cs="Times New Roman"/>
          <w:sz w:val="28"/>
          <w:szCs w:val="28"/>
        </w:rPr>
        <w:t>Novitskiy</w:t>
      </w:r>
      <w:proofErr w:type="spellEnd"/>
      <w:r w:rsidRPr="00537421">
        <w:rPr>
          <w:rFonts w:ascii="Times New Roman" w:hAnsi="Times New Roman" w:cs="Times New Roman"/>
          <w:sz w:val="28"/>
          <w:szCs w:val="28"/>
        </w:rPr>
        <w:t xml:space="preserve"> A., </w:t>
      </w:r>
      <w:proofErr w:type="spellStart"/>
      <w:r w:rsidRPr="00537421">
        <w:rPr>
          <w:rFonts w:ascii="Times New Roman" w:hAnsi="Times New Roman" w:cs="Times New Roman"/>
          <w:sz w:val="28"/>
          <w:szCs w:val="28"/>
        </w:rPr>
        <w:t>Banniy</w:t>
      </w:r>
      <w:proofErr w:type="spellEnd"/>
      <w:r w:rsidRPr="00537421">
        <w:rPr>
          <w:rFonts w:ascii="Times New Roman" w:hAnsi="Times New Roman" w:cs="Times New Roman"/>
          <w:sz w:val="28"/>
          <w:szCs w:val="28"/>
        </w:rPr>
        <w:t xml:space="preserve"> O., </w:t>
      </w:r>
      <w:proofErr w:type="spellStart"/>
      <w:r w:rsidRPr="00537421">
        <w:rPr>
          <w:rFonts w:ascii="Times New Roman" w:hAnsi="Times New Roman" w:cs="Times New Roman"/>
          <w:sz w:val="28"/>
          <w:szCs w:val="28"/>
        </w:rPr>
        <w:t>Novitskyi</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Yu</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Antal</w:t>
      </w:r>
      <w:proofErr w:type="spellEnd"/>
      <w:r w:rsidRPr="00537421">
        <w:rPr>
          <w:rFonts w:ascii="Times New Roman" w:hAnsi="Times New Roman" w:cs="Times New Roman"/>
          <w:sz w:val="28"/>
          <w:szCs w:val="28"/>
        </w:rPr>
        <w:t xml:space="preserve"> M. A </w:t>
      </w:r>
      <w:proofErr w:type="spellStart"/>
      <w:r w:rsidRPr="00537421">
        <w:rPr>
          <w:rFonts w:ascii="Times New Roman" w:hAnsi="Times New Roman" w:cs="Times New Roman"/>
          <w:sz w:val="28"/>
          <w:szCs w:val="28"/>
        </w:rPr>
        <w:t>study</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of</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mixer-feeder</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equipment</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operational</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reliability</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Machinery</w:t>
      </w:r>
      <w:proofErr w:type="spellEnd"/>
      <w:r w:rsidRPr="00537421">
        <w:rPr>
          <w:rFonts w:ascii="Times New Roman" w:hAnsi="Times New Roman" w:cs="Times New Roman"/>
          <w:sz w:val="28"/>
          <w:szCs w:val="28"/>
        </w:rPr>
        <w:t xml:space="preserve"> &amp; </w:t>
      </w:r>
      <w:proofErr w:type="spellStart"/>
      <w:r w:rsidRPr="00537421">
        <w:rPr>
          <w:rFonts w:ascii="Times New Roman" w:hAnsi="Times New Roman" w:cs="Times New Roman"/>
          <w:sz w:val="28"/>
          <w:szCs w:val="28"/>
        </w:rPr>
        <w:t>Energetics</w:t>
      </w:r>
      <w:proofErr w:type="spellEnd"/>
      <w:r w:rsidRPr="00537421">
        <w:rPr>
          <w:rFonts w:ascii="Times New Roman" w:hAnsi="Times New Roman" w:cs="Times New Roman"/>
          <w:sz w:val="28"/>
          <w:szCs w:val="28"/>
        </w:rPr>
        <w:t xml:space="preserve">. 2023. </w:t>
      </w:r>
      <w:proofErr w:type="spellStart"/>
      <w:r w:rsidRPr="00537421">
        <w:rPr>
          <w:rFonts w:ascii="Times New Roman" w:hAnsi="Times New Roman" w:cs="Times New Roman"/>
          <w:sz w:val="28"/>
          <w:szCs w:val="28"/>
        </w:rPr>
        <w:t>Vol</w:t>
      </w:r>
      <w:proofErr w:type="spellEnd"/>
      <w:r w:rsidRPr="00537421">
        <w:rPr>
          <w:rFonts w:ascii="Times New Roman" w:hAnsi="Times New Roman" w:cs="Times New Roman"/>
          <w:sz w:val="28"/>
          <w:szCs w:val="28"/>
        </w:rPr>
        <w:t xml:space="preserve">. 14, </w:t>
      </w:r>
      <w:proofErr w:type="spellStart"/>
      <w:r w:rsidRPr="00537421">
        <w:rPr>
          <w:rFonts w:ascii="Times New Roman" w:hAnsi="Times New Roman" w:cs="Times New Roman"/>
          <w:sz w:val="28"/>
          <w:szCs w:val="28"/>
        </w:rPr>
        <w:t>No</w:t>
      </w:r>
      <w:proofErr w:type="spellEnd"/>
      <w:r w:rsidRPr="00537421">
        <w:rPr>
          <w:rFonts w:ascii="Times New Roman" w:hAnsi="Times New Roman" w:cs="Times New Roman"/>
          <w:sz w:val="28"/>
          <w:szCs w:val="28"/>
        </w:rPr>
        <w:t>. 4. P. 101–110. DOI: 10.31548/</w:t>
      </w:r>
      <w:proofErr w:type="spellStart"/>
      <w:r w:rsidRPr="00537421">
        <w:rPr>
          <w:rFonts w:ascii="Times New Roman" w:hAnsi="Times New Roman" w:cs="Times New Roman"/>
          <w:sz w:val="28"/>
          <w:szCs w:val="28"/>
        </w:rPr>
        <w:t>machinery</w:t>
      </w:r>
      <w:proofErr w:type="spellEnd"/>
      <w:r w:rsidRPr="00537421">
        <w:rPr>
          <w:rFonts w:ascii="Times New Roman" w:hAnsi="Times New Roman" w:cs="Times New Roman"/>
          <w:sz w:val="28"/>
          <w:szCs w:val="28"/>
        </w:rPr>
        <w:t>/4.2023.101.</w:t>
      </w:r>
    </w:p>
    <w:p w14:paraId="1B2F0D26" w14:textId="023A1E2A" w:rsidR="00537421" w:rsidRDefault="00537421" w:rsidP="005E2FC0">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537421">
        <w:rPr>
          <w:rFonts w:ascii="Times New Roman" w:hAnsi="Times New Roman" w:cs="Times New Roman"/>
          <w:sz w:val="28"/>
          <w:szCs w:val="28"/>
        </w:rPr>
        <w:t>Роговський</w:t>
      </w:r>
      <w:proofErr w:type="spellEnd"/>
      <w:r w:rsidRPr="00537421">
        <w:rPr>
          <w:rFonts w:ascii="Times New Roman" w:hAnsi="Times New Roman" w:cs="Times New Roman"/>
          <w:sz w:val="28"/>
          <w:szCs w:val="28"/>
        </w:rPr>
        <w:t xml:space="preserve"> І. Л. Розробка комплексних техніко-технологічних заходів підвищення працездатності сільськогосподарських машин : </w:t>
      </w:r>
      <w:proofErr w:type="spellStart"/>
      <w:r w:rsidRPr="00537421">
        <w:rPr>
          <w:rFonts w:ascii="Times New Roman" w:hAnsi="Times New Roman" w:cs="Times New Roman"/>
          <w:sz w:val="28"/>
          <w:szCs w:val="28"/>
        </w:rPr>
        <w:t>автореф</w:t>
      </w:r>
      <w:proofErr w:type="spellEnd"/>
      <w:r w:rsidRPr="00537421">
        <w:rPr>
          <w:rFonts w:ascii="Times New Roman" w:hAnsi="Times New Roman" w:cs="Times New Roman"/>
          <w:sz w:val="28"/>
          <w:szCs w:val="28"/>
        </w:rPr>
        <w:t xml:space="preserve">. </w:t>
      </w:r>
      <w:proofErr w:type="spellStart"/>
      <w:r w:rsidRPr="00537421">
        <w:rPr>
          <w:rFonts w:ascii="Times New Roman" w:hAnsi="Times New Roman" w:cs="Times New Roman"/>
          <w:sz w:val="28"/>
          <w:szCs w:val="28"/>
        </w:rPr>
        <w:t>дис</w:t>
      </w:r>
      <w:proofErr w:type="spellEnd"/>
      <w:r w:rsidRPr="00537421">
        <w:rPr>
          <w:rFonts w:ascii="Times New Roman" w:hAnsi="Times New Roman" w:cs="Times New Roman"/>
          <w:sz w:val="28"/>
          <w:szCs w:val="28"/>
        </w:rPr>
        <w:t xml:space="preserve">. д-ра </w:t>
      </w:r>
      <w:proofErr w:type="spellStart"/>
      <w:r w:rsidRPr="00537421">
        <w:rPr>
          <w:rFonts w:ascii="Times New Roman" w:hAnsi="Times New Roman" w:cs="Times New Roman"/>
          <w:sz w:val="28"/>
          <w:szCs w:val="28"/>
        </w:rPr>
        <w:t>техн</w:t>
      </w:r>
      <w:proofErr w:type="spellEnd"/>
      <w:r w:rsidRPr="00537421">
        <w:rPr>
          <w:rFonts w:ascii="Times New Roman" w:hAnsi="Times New Roman" w:cs="Times New Roman"/>
          <w:sz w:val="28"/>
          <w:szCs w:val="28"/>
        </w:rPr>
        <w:t>. наук : 05.05.11. Київ : Національний університет біоресурсів і природокористування України, 2021. 56 с.</w:t>
      </w:r>
    </w:p>
    <w:p w14:paraId="49F71289" w14:textId="37A1CE77" w:rsidR="0042298E" w:rsidRPr="00537421" w:rsidRDefault="00537421" w:rsidP="005E2FC0">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537421">
        <w:rPr>
          <w:rFonts w:ascii="Times New Roman" w:hAnsi="Times New Roman" w:cs="Times New Roman"/>
          <w:sz w:val="28"/>
          <w:szCs w:val="28"/>
        </w:rPr>
        <w:t>Борак</w:t>
      </w:r>
      <w:proofErr w:type="spellEnd"/>
      <w:r w:rsidRPr="00537421">
        <w:rPr>
          <w:rFonts w:ascii="Times New Roman" w:hAnsi="Times New Roman" w:cs="Times New Roman"/>
          <w:sz w:val="28"/>
          <w:szCs w:val="28"/>
        </w:rPr>
        <w:t xml:space="preserve"> К. В. Комплексний підхід підвищення довговічності та зносостійкості робочих органів ґрунтообробних машин : </w:t>
      </w:r>
      <w:proofErr w:type="spellStart"/>
      <w:r w:rsidRPr="00537421">
        <w:rPr>
          <w:rFonts w:ascii="Times New Roman" w:hAnsi="Times New Roman" w:cs="Times New Roman"/>
          <w:sz w:val="28"/>
          <w:szCs w:val="28"/>
        </w:rPr>
        <w:t>дис</w:t>
      </w:r>
      <w:proofErr w:type="spellEnd"/>
      <w:r w:rsidRPr="00537421">
        <w:rPr>
          <w:rFonts w:ascii="Times New Roman" w:hAnsi="Times New Roman" w:cs="Times New Roman"/>
          <w:sz w:val="28"/>
          <w:szCs w:val="28"/>
        </w:rPr>
        <w:t xml:space="preserve">. … д-ра. </w:t>
      </w:r>
      <w:proofErr w:type="spellStart"/>
      <w:r w:rsidRPr="00537421">
        <w:rPr>
          <w:rFonts w:ascii="Times New Roman" w:hAnsi="Times New Roman" w:cs="Times New Roman"/>
          <w:sz w:val="28"/>
          <w:szCs w:val="28"/>
        </w:rPr>
        <w:t>техн</w:t>
      </w:r>
      <w:proofErr w:type="spellEnd"/>
      <w:r w:rsidRPr="00537421">
        <w:rPr>
          <w:rFonts w:ascii="Times New Roman" w:hAnsi="Times New Roman" w:cs="Times New Roman"/>
          <w:sz w:val="28"/>
          <w:szCs w:val="28"/>
        </w:rPr>
        <w:t>. наук : 05.05.11 / Поліський національний університет, м. Житомир. 2021. 380.</w:t>
      </w:r>
    </w:p>
    <w:sectPr w:rsidR="0042298E" w:rsidRPr="00537421" w:rsidSect="0053742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60A1E"/>
    <w:multiLevelType w:val="hybridMultilevel"/>
    <w:tmpl w:val="99D271F6"/>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16cid:durableId="1244148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33E"/>
    <w:rsid w:val="00414AE7"/>
    <w:rsid w:val="0042298E"/>
    <w:rsid w:val="004D10A9"/>
    <w:rsid w:val="00537421"/>
    <w:rsid w:val="00595CB8"/>
    <w:rsid w:val="005E2FC0"/>
    <w:rsid w:val="00641161"/>
    <w:rsid w:val="008E533E"/>
    <w:rsid w:val="00B44A09"/>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9C4FC"/>
  <w15:chartTrackingRefBased/>
  <w15:docId w15:val="{98BAF9D9-CAD2-40B3-81D5-8D74A9625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421"/>
  </w:style>
  <w:style w:type="paragraph" w:styleId="1">
    <w:name w:val="heading 1"/>
    <w:basedOn w:val="a"/>
    <w:next w:val="a"/>
    <w:link w:val="10"/>
    <w:uiPriority w:val="9"/>
    <w:qFormat/>
    <w:rsid w:val="008E53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E53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E533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E533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E533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E533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E533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E533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E533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533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E533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E533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E533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E533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E533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E533E"/>
    <w:rPr>
      <w:rFonts w:eastAsiaTheme="majorEastAsia" w:cstheme="majorBidi"/>
      <w:color w:val="595959" w:themeColor="text1" w:themeTint="A6"/>
    </w:rPr>
  </w:style>
  <w:style w:type="character" w:customStyle="1" w:styleId="80">
    <w:name w:val="Заголовок 8 Знак"/>
    <w:basedOn w:val="a0"/>
    <w:link w:val="8"/>
    <w:uiPriority w:val="9"/>
    <w:semiHidden/>
    <w:rsid w:val="008E533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E533E"/>
    <w:rPr>
      <w:rFonts w:eastAsiaTheme="majorEastAsia" w:cstheme="majorBidi"/>
      <w:color w:val="272727" w:themeColor="text1" w:themeTint="D8"/>
    </w:rPr>
  </w:style>
  <w:style w:type="paragraph" w:styleId="a3">
    <w:name w:val="Title"/>
    <w:basedOn w:val="a"/>
    <w:next w:val="a"/>
    <w:link w:val="a4"/>
    <w:uiPriority w:val="10"/>
    <w:qFormat/>
    <w:rsid w:val="008E53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E53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533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E533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E533E"/>
    <w:pPr>
      <w:spacing w:before="160"/>
      <w:jc w:val="center"/>
    </w:pPr>
    <w:rPr>
      <w:i/>
      <w:iCs/>
      <w:color w:val="404040" w:themeColor="text1" w:themeTint="BF"/>
    </w:rPr>
  </w:style>
  <w:style w:type="character" w:customStyle="1" w:styleId="a8">
    <w:name w:val="Цитата Знак"/>
    <w:basedOn w:val="a0"/>
    <w:link w:val="a7"/>
    <w:uiPriority w:val="29"/>
    <w:rsid w:val="008E533E"/>
    <w:rPr>
      <w:i/>
      <w:iCs/>
      <w:color w:val="404040" w:themeColor="text1" w:themeTint="BF"/>
    </w:rPr>
  </w:style>
  <w:style w:type="paragraph" w:styleId="a9">
    <w:name w:val="List Paragraph"/>
    <w:basedOn w:val="a"/>
    <w:uiPriority w:val="34"/>
    <w:qFormat/>
    <w:rsid w:val="008E533E"/>
    <w:pPr>
      <w:ind w:left="720"/>
      <w:contextualSpacing/>
    </w:pPr>
  </w:style>
  <w:style w:type="character" w:styleId="aa">
    <w:name w:val="Intense Emphasis"/>
    <w:basedOn w:val="a0"/>
    <w:uiPriority w:val="21"/>
    <w:qFormat/>
    <w:rsid w:val="008E533E"/>
    <w:rPr>
      <w:i/>
      <w:iCs/>
      <w:color w:val="0F4761" w:themeColor="accent1" w:themeShade="BF"/>
    </w:rPr>
  </w:style>
  <w:style w:type="paragraph" w:styleId="ab">
    <w:name w:val="Intense Quote"/>
    <w:basedOn w:val="a"/>
    <w:next w:val="a"/>
    <w:link w:val="ac"/>
    <w:uiPriority w:val="30"/>
    <w:qFormat/>
    <w:rsid w:val="008E53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8E533E"/>
    <w:rPr>
      <w:i/>
      <w:iCs/>
      <w:color w:val="0F4761" w:themeColor="accent1" w:themeShade="BF"/>
    </w:rPr>
  </w:style>
  <w:style w:type="character" w:styleId="ad">
    <w:name w:val="Intense Reference"/>
    <w:basedOn w:val="a0"/>
    <w:uiPriority w:val="32"/>
    <w:qFormat/>
    <w:rsid w:val="008E53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5611</Words>
  <Characters>3199</Characters>
  <Application>Microsoft Office Word</Application>
  <DocSecurity>0</DocSecurity>
  <Lines>26</Lines>
  <Paragraphs>17</Paragraphs>
  <ScaleCrop>false</ScaleCrop>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3</cp:revision>
  <dcterms:created xsi:type="dcterms:W3CDTF">2026-10-05T14:54:00Z</dcterms:created>
  <dcterms:modified xsi:type="dcterms:W3CDTF">2026-10-05T14:56:00Z</dcterms:modified>
</cp:coreProperties>
</file>