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B4560" w14:textId="0FA7CF79" w:rsidR="00B80FE0" w:rsidRPr="000E1174" w:rsidRDefault="00B80FE0" w:rsidP="009A6F8B">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DB0D79" w:rsidRPr="00DB0D79">
        <w:rPr>
          <w:rFonts w:ascii="Times New Roman" w:hAnsi="Times New Roman" w:cs="Times New Roman"/>
          <w:sz w:val="28"/>
          <w:szCs w:val="28"/>
        </w:rPr>
        <w:t>621.43:631.372:631.22</w:t>
      </w:r>
    </w:p>
    <w:p w14:paraId="13016086" w14:textId="77777777" w:rsidR="00B80FE0" w:rsidRPr="000E1174" w:rsidRDefault="00B80FE0" w:rsidP="009A6F8B">
      <w:pPr>
        <w:spacing w:after="0" w:line="276" w:lineRule="auto"/>
        <w:rPr>
          <w:rFonts w:ascii="Times New Roman" w:hAnsi="Times New Roman" w:cs="Times New Roman"/>
          <w:sz w:val="28"/>
          <w:szCs w:val="28"/>
        </w:rPr>
      </w:pPr>
    </w:p>
    <w:p w14:paraId="177946DA" w14:textId="77777777" w:rsidR="00DB0D79" w:rsidRDefault="00DB0D79" w:rsidP="009A6F8B">
      <w:pPr>
        <w:spacing w:after="0" w:line="276" w:lineRule="auto"/>
        <w:jc w:val="center"/>
        <w:rPr>
          <w:rFonts w:ascii="Times New Roman" w:hAnsi="Times New Roman" w:cs="Times New Roman"/>
          <w:b/>
          <w:bCs/>
          <w:sz w:val="28"/>
          <w:szCs w:val="28"/>
        </w:rPr>
      </w:pPr>
      <w:r w:rsidRPr="00DB0D79">
        <w:rPr>
          <w:rFonts w:ascii="Times New Roman" w:hAnsi="Times New Roman" w:cs="Times New Roman"/>
          <w:b/>
          <w:bCs/>
          <w:sz w:val="28"/>
          <w:szCs w:val="28"/>
        </w:rPr>
        <w:t>ОСОБЛИВОСТІ ОБКАТКИ ДВЗ МАЛОГАБАРИТНОЇ АВТОТРАКТОРНОЇ ТЕХНІКИ, ЯКА ВИКОРИСТОВУЄТЬСЯ В ТВАРИННИЦЬКИХ ПРИМІЩЕННЯХ</w:t>
      </w:r>
    </w:p>
    <w:p w14:paraId="692800E2" w14:textId="77777777" w:rsidR="00DB0D79" w:rsidRDefault="00DB0D79" w:rsidP="009A6F8B">
      <w:pPr>
        <w:spacing w:after="0" w:line="276" w:lineRule="auto"/>
        <w:jc w:val="center"/>
        <w:rPr>
          <w:rFonts w:ascii="Times New Roman" w:hAnsi="Times New Roman" w:cs="Times New Roman"/>
          <w:b/>
          <w:bCs/>
          <w:sz w:val="28"/>
          <w:szCs w:val="28"/>
        </w:rPr>
      </w:pPr>
    </w:p>
    <w:p w14:paraId="17925B12" w14:textId="229FD7D6" w:rsidR="00B80FE0" w:rsidRDefault="00B80FE0" w:rsidP="009A6F8B">
      <w:pPr>
        <w:spacing w:after="0" w:line="276" w:lineRule="auto"/>
        <w:jc w:val="center"/>
        <w:rPr>
          <w:rFonts w:ascii="Times New Roman" w:hAnsi="Times New Roman" w:cs="Times New Roman"/>
          <w:sz w:val="28"/>
          <w:szCs w:val="28"/>
        </w:rPr>
      </w:pPr>
      <w:proofErr w:type="spellStart"/>
      <w:r>
        <w:rPr>
          <w:rFonts w:ascii="Times New Roman" w:hAnsi="Times New Roman" w:cs="Times New Roman"/>
          <w:b/>
          <w:bCs/>
          <w:sz w:val="28"/>
          <w:szCs w:val="28"/>
        </w:rPr>
        <w:t>Борак</w:t>
      </w:r>
      <w:proofErr w:type="spellEnd"/>
      <w:r>
        <w:rPr>
          <w:rFonts w:ascii="Times New Roman" w:hAnsi="Times New Roman" w:cs="Times New Roman"/>
          <w:b/>
          <w:bCs/>
          <w:sz w:val="28"/>
          <w:szCs w:val="28"/>
        </w:rPr>
        <w:t xml:space="preserve"> К.В</w:t>
      </w:r>
      <w:r w:rsidRPr="000E1174">
        <w:rPr>
          <w:rFonts w:ascii="Times New Roman" w:hAnsi="Times New Roman" w:cs="Times New Roman"/>
          <w:b/>
          <w:bCs/>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д.т.н</w:t>
      </w:r>
      <w:proofErr w:type="spellEnd"/>
      <w:r>
        <w:rPr>
          <w:rFonts w:ascii="Times New Roman" w:hAnsi="Times New Roman" w:cs="Times New Roman"/>
          <w:sz w:val="28"/>
          <w:szCs w:val="28"/>
        </w:rPr>
        <w:t xml:space="preserve">., професор, </w:t>
      </w:r>
      <w:proofErr w:type="spellStart"/>
      <w:r w:rsidRPr="00B80FE0">
        <w:rPr>
          <w:rFonts w:ascii="Times New Roman" w:hAnsi="Times New Roman" w:cs="Times New Roman"/>
          <w:b/>
          <w:bCs/>
          <w:sz w:val="28"/>
          <w:szCs w:val="28"/>
        </w:rPr>
        <w:t>Глушаниця</w:t>
      </w:r>
      <w:proofErr w:type="spellEnd"/>
      <w:r w:rsidRPr="00B80FE0">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О.В.</w:t>
      </w:r>
      <w:r>
        <w:rPr>
          <w:rFonts w:ascii="Times New Roman" w:hAnsi="Times New Roman" w:cs="Times New Roman"/>
          <w:sz w:val="28"/>
          <w:szCs w:val="28"/>
        </w:rPr>
        <w:t>здобувач</w:t>
      </w:r>
      <w:proofErr w:type="spellEnd"/>
      <w:r>
        <w:rPr>
          <w:rFonts w:ascii="Times New Roman" w:hAnsi="Times New Roman" w:cs="Times New Roman"/>
          <w:sz w:val="28"/>
          <w:szCs w:val="28"/>
        </w:rPr>
        <w:t xml:space="preserve"> освіти</w:t>
      </w:r>
    </w:p>
    <w:p w14:paraId="64BC8BB7" w14:textId="77777777" w:rsidR="00B80FE0" w:rsidRPr="009A6F8B" w:rsidRDefault="00B80FE0" w:rsidP="009A6F8B">
      <w:pPr>
        <w:spacing w:after="0" w:line="276" w:lineRule="auto"/>
        <w:jc w:val="center"/>
        <w:rPr>
          <w:rFonts w:ascii="Times New Roman" w:hAnsi="Times New Roman" w:cs="Times New Roman"/>
          <w:i/>
          <w:iCs/>
          <w:sz w:val="28"/>
          <w:szCs w:val="28"/>
        </w:rPr>
      </w:pPr>
      <w:r w:rsidRPr="009A6F8B">
        <w:rPr>
          <w:rFonts w:ascii="Times New Roman" w:hAnsi="Times New Roman" w:cs="Times New Roman"/>
          <w:i/>
          <w:iCs/>
          <w:sz w:val="28"/>
          <w:szCs w:val="28"/>
        </w:rPr>
        <w:t>Поліський національний університет, м. Житомир</w:t>
      </w:r>
    </w:p>
    <w:p w14:paraId="3048E4F1" w14:textId="77777777" w:rsidR="00B80FE0" w:rsidRDefault="00B80FE0" w:rsidP="009A6F8B">
      <w:pPr>
        <w:spacing w:after="0" w:line="276" w:lineRule="auto"/>
        <w:jc w:val="center"/>
        <w:rPr>
          <w:rFonts w:ascii="Times New Roman" w:hAnsi="Times New Roman" w:cs="Times New Roman"/>
          <w:sz w:val="28"/>
          <w:szCs w:val="28"/>
        </w:rPr>
      </w:pPr>
    </w:p>
    <w:p w14:paraId="5C5B8995"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Сучасні технології виробництва продукції тваринництва передбачають широке використання малогабаритної автотракторної техніки для механізації операцій з роздавання кормів, видалення гною, транспортування матеріалів, обслуговування тваринницьких приміщень та виконання допоміжних технологічних операцій. Для таких машин характерні невеликі габаритні розміри, висока маневреність, часті зміни режимів роботи, багаторазові пуски двигуна протягом зміни та значна частка роботи на малих швидкостях і часткових навантаженнях. Зазначені особливості суттєво впливають на процес припрацювання деталей двигуна внутрішнього згоряння (ДВЗ) після його виготовлення або ремонту.</w:t>
      </w:r>
    </w:p>
    <w:p w14:paraId="01B022FB"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Обкатка є початковим етапом експлуатації або післяремонтного використання двигуна, протягом якого відбувається взаємне припрацювання поверхонь тертя, зміна їх мікрогеометрії, формування фактичної площі контакту та стабілізація </w:t>
      </w:r>
      <w:proofErr w:type="spellStart"/>
      <w:r w:rsidRPr="00DB0D79">
        <w:rPr>
          <w:rFonts w:ascii="Times New Roman" w:hAnsi="Times New Roman" w:cs="Times New Roman"/>
          <w:sz w:val="28"/>
          <w:szCs w:val="28"/>
        </w:rPr>
        <w:t>трибологічних</w:t>
      </w:r>
      <w:proofErr w:type="spellEnd"/>
      <w:r w:rsidRPr="00DB0D79">
        <w:rPr>
          <w:rFonts w:ascii="Times New Roman" w:hAnsi="Times New Roman" w:cs="Times New Roman"/>
          <w:sz w:val="28"/>
          <w:szCs w:val="28"/>
        </w:rPr>
        <w:t xml:space="preserve"> характеристик спряжень. У роботі M. M. </w:t>
      </w:r>
      <w:proofErr w:type="spellStart"/>
      <w:r w:rsidRPr="00DB0D79">
        <w:rPr>
          <w:rFonts w:ascii="Times New Roman" w:hAnsi="Times New Roman" w:cs="Times New Roman"/>
          <w:sz w:val="28"/>
          <w:szCs w:val="28"/>
        </w:rPr>
        <w:t>Khonsari</w:t>
      </w:r>
      <w:proofErr w:type="spellEnd"/>
      <w:r w:rsidRPr="00DB0D79">
        <w:rPr>
          <w:rFonts w:ascii="Times New Roman" w:hAnsi="Times New Roman" w:cs="Times New Roman"/>
          <w:sz w:val="28"/>
          <w:szCs w:val="28"/>
        </w:rPr>
        <w:t xml:space="preserve">, S. </w:t>
      </w:r>
      <w:proofErr w:type="spellStart"/>
      <w:r w:rsidRPr="00DB0D79">
        <w:rPr>
          <w:rFonts w:ascii="Times New Roman" w:hAnsi="Times New Roman" w:cs="Times New Roman"/>
          <w:sz w:val="28"/>
          <w:szCs w:val="28"/>
        </w:rPr>
        <w:t>Ghatrehsamani</w:t>
      </w:r>
      <w:proofErr w:type="spellEnd"/>
      <w:r w:rsidRPr="00DB0D79">
        <w:rPr>
          <w:rFonts w:ascii="Times New Roman" w:hAnsi="Times New Roman" w:cs="Times New Roman"/>
          <w:sz w:val="28"/>
          <w:szCs w:val="28"/>
        </w:rPr>
        <w:t xml:space="preserve"> та S. </w:t>
      </w:r>
      <w:proofErr w:type="spellStart"/>
      <w:r w:rsidRPr="00DB0D79">
        <w:rPr>
          <w:rFonts w:ascii="Times New Roman" w:hAnsi="Times New Roman" w:cs="Times New Roman"/>
          <w:sz w:val="28"/>
          <w:szCs w:val="28"/>
        </w:rPr>
        <w:t>Akbarzadeh</w:t>
      </w:r>
      <w:proofErr w:type="spellEnd"/>
      <w:r w:rsidRPr="00DB0D79">
        <w:rPr>
          <w:rFonts w:ascii="Times New Roman" w:hAnsi="Times New Roman" w:cs="Times New Roman"/>
          <w:sz w:val="28"/>
          <w:szCs w:val="28"/>
        </w:rPr>
        <w:t xml:space="preserve"> зазначено, що процес припрацювання характеризується взаємопов'язаними змінами шорсткості поверхонь, коефіцієнта тертя та інтенсивності зношування, а умови, в яких проходить обкатка, визначають подальшу поведінку </w:t>
      </w:r>
      <w:proofErr w:type="spellStart"/>
      <w:r w:rsidRPr="00DB0D79">
        <w:rPr>
          <w:rFonts w:ascii="Times New Roman" w:hAnsi="Times New Roman" w:cs="Times New Roman"/>
          <w:sz w:val="28"/>
          <w:szCs w:val="28"/>
        </w:rPr>
        <w:t>трибосистеми</w:t>
      </w:r>
      <w:proofErr w:type="spellEnd"/>
      <w:r w:rsidRPr="00DB0D79">
        <w:rPr>
          <w:rFonts w:ascii="Times New Roman" w:hAnsi="Times New Roman" w:cs="Times New Roman"/>
          <w:sz w:val="28"/>
          <w:szCs w:val="28"/>
        </w:rPr>
        <w:t xml:space="preserve"> у сталому режимі експлуатації [1].</w:t>
      </w:r>
    </w:p>
    <w:p w14:paraId="2F3900FE"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Особливо важливим процес припрацювання є для спряження «гільза циліндра – поршневі кільця». У початковий період роботи фактична площа контакту між поверхнями є відносно невеликою, внаслідок чого навантаження концентрується на вершинах </w:t>
      </w:r>
      <w:proofErr w:type="spellStart"/>
      <w:r w:rsidRPr="00DB0D79">
        <w:rPr>
          <w:rFonts w:ascii="Times New Roman" w:hAnsi="Times New Roman" w:cs="Times New Roman"/>
          <w:sz w:val="28"/>
          <w:szCs w:val="28"/>
        </w:rPr>
        <w:t>мікронерівностей</w:t>
      </w:r>
      <w:proofErr w:type="spellEnd"/>
      <w:r w:rsidRPr="00DB0D79">
        <w:rPr>
          <w:rFonts w:ascii="Times New Roman" w:hAnsi="Times New Roman" w:cs="Times New Roman"/>
          <w:sz w:val="28"/>
          <w:szCs w:val="28"/>
        </w:rPr>
        <w:t xml:space="preserve">. У процесі обкатки відбувається їх поступове згладжування, збільшення площі контакту та формування сприятливих умов мащення. Експериментальними дослідженнями встановлено суттєвий вплив початкової шорсткості гільзи, температурного та навантажувального режимів на інтенсивність припрацювання поршневих </w:t>
      </w:r>
      <w:proofErr w:type="spellStart"/>
      <w:r w:rsidRPr="00DB0D79">
        <w:rPr>
          <w:rFonts w:ascii="Times New Roman" w:hAnsi="Times New Roman" w:cs="Times New Roman"/>
          <w:sz w:val="28"/>
          <w:szCs w:val="28"/>
        </w:rPr>
        <w:t>кілець</w:t>
      </w:r>
      <w:proofErr w:type="spellEnd"/>
      <w:r w:rsidRPr="00DB0D79">
        <w:rPr>
          <w:rFonts w:ascii="Times New Roman" w:hAnsi="Times New Roman" w:cs="Times New Roman"/>
          <w:sz w:val="28"/>
          <w:szCs w:val="28"/>
        </w:rPr>
        <w:t xml:space="preserve"> і циліндрів [2]. Моделювання процесу зношування поверхні циліндра також підтверджує, що в період обкатки поступова зміна мікрогеометрії поверхні супроводжується зменшенням втрат на тертя та стабілізацією умов мащення [3].</w:t>
      </w:r>
    </w:p>
    <w:p w14:paraId="3166CABB"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lastRenderedPageBreak/>
        <w:t>Для малогабаритної техніки, яка працює безпосередньо у тваринницьких приміщеннях, умови обкатки мають низку специфічних особливостей. Однією з головних є переважання короткочасних робочих циклів. Виконання операцій з підбирання, переміщення та роздавання кормів або прибирання приміщення часто потребує багаторазових пусків і зупинок машини. Унаслідок цього двигун значну частину часу може працювати до досягнення стабільного теплового стану.</w:t>
      </w:r>
    </w:p>
    <w:p w14:paraId="69288650"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За низької температури деталей погіршуються умови утворення мастильної плівки, збільшується в'язкість мастильного матеріалу, а зазор між окремими елементами </w:t>
      </w:r>
      <w:proofErr w:type="spellStart"/>
      <w:r w:rsidRPr="00DB0D79">
        <w:rPr>
          <w:rFonts w:ascii="Times New Roman" w:hAnsi="Times New Roman" w:cs="Times New Roman"/>
          <w:sz w:val="28"/>
          <w:szCs w:val="28"/>
        </w:rPr>
        <w:t>циліндро</w:t>
      </w:r>
      <w:proofErr w:type="spellEnd"/>
      <w:r w:rsidRPr="00DB0D79">
        <w:rPr>
          <w:rFonts w:ascii="Times New Roman" w:hAnsi="Times New Roman" w:cs="Times New Roman"/>
          <w:sz w:val="28"/>
          <w:szCs w:val="28"/>
        </w:rPr>
        <w:t>-поршневої групи відрізняється від розрахункового теплового стану. Особливо несприятливими є багаторазові холодні пуски у початковий період експлуатації. Тому процес обкатки малогабаритного двигуна доцільно організовувати таким чином, щоб після пуску забезпечувати його поступове прогрівання з подальшим переходом до регламентованого навантаження, не допускаючи різкого навантаження непрогрітого двигуна.</w:t>
      </w:r>
    </w:p>
    <w:p w14:paraId="1A6D4FEF"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Водночас тривала обкатка двигуна виключно на холостому ходу також не може вважатися раціональною. Дослідження роботи дизельних двигунів при тривалих малих навантаженнях показують, що зниження температури та тиску в циліндрі може сприяти неповному згорянню палива, формуванню </w:t>
      </w:r>
      <w:proofErr w:type="spellStart"/>
      <w:r w:rsidRPr="00DB0D79">
        <w:rPr>
          <w:rFonts w:ascii="Times New Roman" w:hAnsi="Times New Roman" w:cs="Times New Roman"/>
          <w:sz w:val="28"/>
          <w:szCs w:val="28"/>
        </w:rPr>
        <w:t>відкладень</w:t>
      </w:r>
      <w:proofErr w:type="spellEnd"/>
      <w:r w:rsidRPr="00DB0D79">
        <w:rPr>
          <w:rFonts w:ascii="Times New Roman" w:hAnsi="Times New Roman" w:cs="Times New Roman"/>
          <w:sz w:val="28"/>
          <w:szCs w:val="28"/>
        </w:rPr>
        <w:t>, забрудненню мастильного матеріалу і погіршенню стану поверхні гільзи [4]. Для двигунів малогабаритної техніки така проблема є особливо актуальною, оскільки технологічні операції всередині будівель нерідко виконуються при частковому завантаженні двигуна.</w:t>
      </w:r>
    </w:p>
    <w:p w14:paraId="1741EAEF"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Отже, однією з основних вимог до обкатки є чергування швидкісних і навантажувальних режимів із поступовим збільшенням навантаження, а не тривала робота з постійною частотою обертання колінчастого </w:t>
      </w:r>
      <w:proofErr w:type="spellStart"/>
      <w:r w:rsidRPr="00DB0D79">
        <w:rPr>
          <w:rFonts w:ascii="Times New Roman" w:hAnsi="Times New Roman" w:cs="Times New Roman"/>
          <w:sz w:val="28"/>
          <w:szCs w:val="28"/>
        </w:rPr>
        <w:t>вала</w:t>
      </w:r>
      <w:proofErr w:type="spellEnd"/>
      <w:r w:rsidRPr="00DB0D79">
        <w:rPr>
          <w:rFonts w:ascii="Times New Roman" w:hAnsi="Times New Roman" w:cs="Times New Roman"/>
          <w:sz w:val="28"/>
          <w:szCs w:val="28"/>
        </w:rPr>
        <w:t xml:space="preserve"> та мінімальним навантаженням. Початкові режими повинні забезпечувати формування мастильної плівки та поступове припрацювання </w:t>
      </w:r>
      <w:proofErr w:type="spellStart"/>
      <w:r w:rsidRPr="00DB0D79">
        <w:rPr>
          <w:rFonts w:ascii="Times New Roman" w:hAnsi="Times New Roman" w:cs="Times New Roman"/>
          <w:sz w:val="28"/>
          <w:szCs w:val="28"/>
        </w:rPr>
        <w:t>мікронерівностей</w:t>
      </w:r>
      <w:proofErr w:type="spellEnd"/>
      <w:r w:rsidRPr="00DB0D79">
        <w:rPr>
          <w:rFonts w:ascii="Times New Roman" w:hAnsi="Times New Roman" w:cs="Times New Roman"/>
          <w:sz w:val="28"/>
          <w:szCs w:val="28"/>
        </w:rPr>
        <w:t>, тоді як наступні етапи мають створювати достатній тиск газів на поршневі кільця для їх ефективного притискання до поверхні гільзи.</w:t>
      </w:r>
    </w:p>
    <w:p w14:paraId="35BB5CA4"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Експериментальні дослідження спряження «поршневе кільце – гільза циліндра» підтверджують залежність якості припрацювання від швидкості ковзання, навантаження, характеру поверхні та умов мащення. Зокрема, C. </w:t>
      </w:r>
      <w:proofErr w:type="spellStart"/>
      <w:r w:rsidRPr="00DB0D79">
        <w:rPr>
          <w:rFonts w:ascii="Times New Roman" w:hAnsi="Times New Roman" w:cs="Times New Roman"/>
          <w:sz w:val="28"/>
          <w:szCs w:val="28"/>
        </w:rPr>
        <w:t>Miao</w:t>
      </w:r>
      <w:proofErr w:type="spellEnd"/>
      <w:r w:rsidRPr="00DB0D79">
        <w:rPr>
          <w:rFonts w:ascii="Times New Roman" w:hAnsi="Times New Roman" w:cs="Times New Roman"/>
          <w:sz w:val="28"/>
          <w:szCs w:val="28"/>
        </w:rPr>
        <w:t xml:space="preserve">, Z. </w:t>
      </w:r>
      <w:proofErr w:type="spellStart"/>
      <w:r w:rsidRPr="00DB0D79">
        <w:rPr>
          <w:rFonts w:ascii="Times New Roman" w:hAnsi="Times New Roman" w:cs="Times New Roman"/>
          <w:sz w:val="28"/>
          <w:szCs w:val="28"/>
        </w:rPr>
        <w:t>Guo</w:t>
      </w:r>
      <w:proofErr w:type="spellEnd"/>
      <w:r w:rsidRPr="00DB0D79">
        <w:rPr>
          <w:rFonts w:ascii="Times New Roman" w:hAnsi="Times New Roman" w:cs="Times New Roman"/>
          <w:sz w:val="28"/>
          <w:szCs w:val="28"/>
        </w:rPr>
        <w:t xml:space="preserve"> та C. </w:t>
      </w:r>
      <w:proofErr w:type="spellStart"/>
      <w:r w:rsidRPr="00DB0D79">
        <w:rPr>
          <w:rFonts w:ascii="Times New Roman" w:hAnsi="Times New Roman" w:cs="Times New Roman"/>
          <w:sz w:val="28"/>
          <w:szCs w:val="28"/>
        </w:rPr>
        <w:t>Yuan</w:t>
      </w:r>
      <w:proofErr w:type="spellEnd"/>
      <w:r w:rsidRPr="00DB0D79">
        <w:rPr>
          <w:rFonts w:ascii="Times New Roman" w:hAnsi="Times New Roman" w:cs="Times New Roman"/>
          <w:sz w:val="28"/>
          <w:szCs w:val="28"/>
        </w:rPr>
        <w:t xml:space="preserve"> встановили, що зміна характеристик поверхні суттєво впливає на коефіцієнт тертя, контактну взаємодію та зношування в період обкатки [5].</w:t>
      </w:r>
    </w:p>
    <w:p w14:paraId="2AA609AB"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Іншою характерною особливістю експлуатації малогабаритної техніки в тваринницьких приміщеннях є специфічний склад навколишнього повітря. Повітря таких приміщень містить значну кількість органічного пилу, частинок кормів, підстилки, шерсті, мікроорганізмів та інших аерозолів. За результатами аналізу наукових досліджень, концентрація твердих частинок у тваринницьких </w:t>
      </w:r>
      <w:r w:rsidRPr="00DB0D79">
        <w:rPr>
          <w:rFonts w:ascii="Times New Roman" w:hAnsi="Times New Roman" w:cs="Times New Roman"/>
          <w:sz w:val="28"/>
          <w:szCs w:val="28"/>
        </w:rPr>
        <w:lastRenderedPageBreak/>
        <w:t>приміщеннях залежить від виду тварин, способу годівлі, типу утримання, системи вентиляції та технологічних операцій [6].</w:t>
      </w:r>
    </w:p>
    <w:p w14:paraId="7457C9BA"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Важливим газоподібним компонентом повітря тваринницьких приміщень є аміак. Його концентрація визначається видом тварин, способом утримання, температурою, вологістю, вентиляцією та технологією видалення гною [7]. Дослідження тваринницьких будівель показали наявність аміаку в приміщеннях для утримання великої рогатої худоби, свиней та птиці, причому його концентрації можуть суттєво відрізнятися залежно від технологічних умов [7].</w:t>
      </w:r>
    </w:p>
    <w:p w14:paraId="2A72060A"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Для ДВЗ забруднене повітря має особливе значення саме в період обкатки, коли поверхні тертя є найбільш чутливими до потрапляння сторонніх частинок. T. </w:t>
      </w:r>
      <w:proofErr w:type="spellStart"/>
      <w:r w:rsidRPr="00DB0D79">
        <w:rPr>
          <w:rFonts w:ascii="Times New Roman" w:hAnsi="Times New Roman" w:cs="Times New Roman"/>
          <w:sz w:val="28"/>
          <w:szCs w:val="28"/>
        </w:rPr>
        <w:t>Dziubak</w:t>
      </w:r>
      <w:proofErr w:type="spellEnd"/>
      <w:r w:rsidRPr="00DB0D79">
        <w:rPr>
          <w:rFonts w:ascii="Times New Roman" w:hAnsi="Times New Roman" w:cs="Times New Roman"/>
          <w:sz w:val="28"/>
          <w:szCs w:val="28"/>
        </w:rPr>
        <w:t xml:space="preserve"> та S. D. </w:t>
      </w:r>
      <w:proofErr w:type="spellStart"/>
      <w:r w:rsidRPr="00DB0D79">
        <w:rPr>
          <w:rFonts w:ascii="Times New Roman" w:hAnsi="Times New Roman" w:cs="Times New Roman"/>
          <w:sz w:val="28"/>
          <w:szCs w:val="28"/>
        </w:rPr>
        <w:t>Dziubak</w:t>
      </w:r>
      <w:proofErr w:type="spellEnd"/>
      <w:r w:rsidRPr="00DB0D79">
        <w:rPr>
          <w:rFonts w:ascii="Times New Roman" w:hAnsi="Times New Roman" w:cs="Times New Roman"/>
          <w:sz w:val="28"/>
          <w:szCs w:val="28"/>
        </w:rPr>
        <w:t xml:space="preserve"> встановили, що тверді частинки, які проходять через систему очищення повітря, можуть проникати до зони контакту «поршень – поршневі кільця – циліндр» та разом із мастильним матеріалом формувати абразивне середовище. Це призводить до прискореного зношування гільз, </w:t>
      </w:r>
      <w:proofErr w:type="spellStart"/>
      <w:r w:rsidRPr="00DB0D79">
        <w:rPr>
          <w:rFonts w:ascii="Times New Roman" w:hAnsi="Times New Roman" w:cs="Times New Roman"/>
          <w:sz w:val="28"/>
          <w:szCs w:val="28"/>
        </w:rPr>
        <w:t>кілець</w:t>
      </w:r>
      <w:proofErr w:type="spellEnd"/>
      <w:r w:rsidRPr="00DB0D79">
        <w:rPr>
          <w:rFonts w:ascii="Times New Roman" w:hAnsi="Times New Roman" w:cs="Times New Roman"/>
          <w:sz w:val="28"/>
          <w:szCs w:val="28"/>
        </w:rPr>
        <w:t xml:space="preserve"> і підшипникових вузлів [8].</w:t>
      </w:r>
    </w:p>
    <w:p w14:paraId="09A2FF9C"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З огляду на це під час обкатки двигунів техніки, призначеної для роботи у тваринницьких приміщеннях, доцільно приділяти підвищену увагу герметичності впускного тракту і технічному стану повітроочисника. Забруднення фільтрувального елемента збільшує опір впуску і погіршує наповнення циліндрів. Експериментальні дослідження дизелів тракторів показують, що збільшення опору повітряного фільтра супроводжується зменшенням потужності та крутного моменту й одночасним зростанням витрати палива та викидів окремих шкідливих компонентів [9]. Тому контроль забрудненості фільтра під час обкатки повинен бути більш жорстким, ніж за експлуатації техніки в умовах чистого навколишнього повітря.</w:t>
      </w:r>
    </w:p>
    <w:p w14:paraId="7C966520"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Не менш важливим є недопущення потрапляння частинок продуктів зношування у мастильну систему. У процесі первинного припрацювання кількість продуктів зношування є вищою порівняно зі сталим періодом експлуатації [1, 3]. Тому після завершення регламентованого етапу обкатки доцільно виконувати обслуговування системи мащення відповідно до вимог виробника або ремонтної технології, включаючи контроль стану мастильного матеріалу та фільтрувальних елементів.</w:t>
      </w:r>
    </w:p>
    <w:p w14:paraId="4A09E729"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Аналіз наукової інформації дозволяє запропонувати раціональну схему обкатки ДВЗ малогабаритної автотракторної техніки, що експлуатується у тваринницьких приміщеннях. Перший етап повинен виконуватися в контрольованих умовах із прогріванням двигуна та роботою без різких змін частоти обертання і навантаження. Другий етап передбачає поступове збільшення навантаження з чергуванням швидкісних режимів для забезпечення рівномірного припрацювання поверхонь. Третій етап доцільно проводити під </w:t>
      </w:r>
      <w:r w:rsidRPr="00DB0D79">
        <w:rPr>
          <w:rFonts w:ascii="Times New Roman" w:hAnsi="Times New Roman" w:cs="Times New Roman"/>
          <w:sz w:val="28"/>
          <w:szCs w:val="28"/>
        </w:rPr>
        <w:lastRenderedPageBreak/>
        <w:t>робочим навантаженням, близьким до характерного для технологічних операцій конкретної машини, але без тривалого перевантаження і тривалих режимів холостого ходу.</w:t>
      </w:r>
    </w:p>
    <w:p w14:paraId="0C0F0EBE"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Під час зазначених етапів необхідно контролювати температуру охолоджувальної рідини й мастильного матеріалу, тиск у системі мащення, частоту обертання колінчастого </w:t>
      </w:r>
      <w:proofErr w:type="spellStart"/>
      <w:r w:rsidRPr="00DB0D79">
        <w:rPr>
          <w:rFonts w:ascii="Times New Roman" w:hAnsi="Times New Roman" w:cs="Times New Roman"/>
          <w:sz w:val="28"/>
          <w:szCs w:val="28"/>
        </w:rPr>
        <w:t>вала</w:t>
      </w:r>
      <w:proofErr w:type="spellEnd"/>
      <w:r w:rsidRPr="00DB0D79">
        <w:rPr>
          <w:rFonts w:ascii="Times New Roman" w:hAnsi="Times New Roman" w:cs="Times New Roman"/>
          <w:sz w:val="28"/>
          <w:szCs w:val="28"/>
        </w:rPr>
        <w:t xml:space="preserve">, характер </w:t>
      </w:r>
      <w:proofErr w:type="spellStart"/>
      <w:r w:rsidRPr="00DB0D79">
        <w:rPr>
          <w:rFonts w:ascii="Times New Roman" w:hAnsi="Times New Roman" w:cs="Times New Roman"/>
          <w:sz w:val="28"/>
          <w:szCs w:val="28"/>
        </w:rPr>
        <w:t>димності</w:t>
      </w:r>
      <w:proofErr w:type="spellEnd"/>
      <w:r w:rsidRPr="00DB0D79">
        <w:rPr>
          <w:rFonts w:ascii="Times New Roman" w:hAnsi="Times New Roman" w:cs="Times New Roman"/>
          <w:sz w:val="28"/>
          <w:szCs w:val="28"/>
        </w:rPr>
        <w:t xml:space="preserve"> відпрацьованих газів, стабільність роботи двигуна, наявність сторонніх шумів та герметичність систем. За можливості до системи контролю доцільно включити оцінювання тиску картерних газів, витрати палива та параметрів відпрацьованих газів. Стабілізація цих показників разом зі стабілізацією теплового режиму може використовуватися як додаткова ознака завершення інтенсивного етапу припрацювання.</w:t>
      </w:r>
    </w:p>
    <w:p w14:paraId="1B6C09B2"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Окремою вимогою є організація відведення відпрацьованих газів. Проведення тривалої технологічної обкатки безпосередньо в зоні утримання тварин є небажаним. Первинний етап післяремонтної або заводської обкатки доцільніше проводити на спеціалізованій ділянці, а в тваринницькому приміщенні виконувати лише експлуатаційне припрацювання під час реальних технологічних операцій за умови належної вентиляції та відведення відпрацьованих газів.</w:t>
      </w:r>
    </w:p>
    <w:p w14:paraId="5165EFC4"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Таким чином, особливість обкатки ДВЗ малогабаритної автотракторної техніки, яка використовується у тваринницьких приміщеннях, полягає у необхідності одночасного врахування </w:t>
      </w:r>
      <w:proofErr w:type="spellStart"/>
      <w:r w:rsidRPr="00DB0D79">
        <w:rPr>
          <w:rFonts w:ascii="Times New Roman" w:hAnsi="Times New Roman" w:cs="Times New Roman"/>
          <w:sz w:val="28"/>
          <w:szCs w:val="28"/>
        </w:rPr>
        <w:t>трибологічних</w:t>
      </w:r>
      <w:proofErr w:type="spellEnd"/>
      <w:r w:rsidRPr="00DB0D79">
        <w:rPr>
          <w:rFonts w:ascii="Times New Roman" w:hAnsi="Times New Roman" w:cs="Times New Roman"/>
          <w:sz w:val="28"/>
          <w:szCs w:val="28"/>
        </w:rPr>
        <w:t xml:space="preserve"> процесів припрацювання та специфічних умов експлуатаційного середовища. До найбільш значущих негативних факторів належать часті пуски, тривалі режими малих навантажень, нестабільний тепловий режим, підвищена запиленість повітря та наявність газових забруднень. Мінімізація їх впливу потребує застосування ступінчастої програми навантаження, обмеження тривалої роботи на холостому ходу, ефективного очищення впускного повітря, своєчасного обслуговування системи мащення та постійного контролю теплових і експлуатаційних параметрів двигуна.</w:t>
      </w:r>
    </w:p>
    <w:p w14:paraId="3D1128BB" w14:textId="77777777" w:rsidR="00DB0D79" w:rsidRPr="00DB0D79" w:rsidRDefault="00DB0D79" w:rsidP="009A6F8B">
      <w:pPr>
        <w:spacing w:after="0" w:line="276" w:lineRule="auto"/>
        <w:ind w:firstLine="709"/>
        <w:jc w:val="both"/>
        <w:rPr>
          <w:rFonts w:ascii="Times New Roman" w:hAnsi="Times New Roman" w:cs="Times New Roman"/>
          <w:sz w:val="28"/>
          <w:szCs w:val="28"/>
        </w:rPr>
      </w:pPr>
      <w:r w:rsidRPr="00DB0D79">
        <w:rPr>
          <w:rFonts w:ascii="Times New Roman" w:hAnsi="Times New Roman" w:cs="Times New Roman"/>
          <w:sz w:val="28"/>
          <w:szCs w:val="28"/>
        </w:rPr>
        <w:t xml:space="preserve">Перспективним напрямом подальших досліджень є розроблення адаптивної технології </w:t>
      </w:r>
      <w:proofErr w:type="spellStart"/>
      <w:r w:rsidRPr="00DB0D79">
        <w:rPr>
          <w:rFonts w:ascii="Times New Roman" w:hAnsi="Times New Roman" w:cs="Times New Roman"/>
          <w:sz w:val="28"/>
          <w:szCs w:val="28"/>
        </w:rPr>
        <w:t>безгальмівної</w:t>
      </w:r>
      <w:proofErr w:type="spellEnd"/>
      <w:r w:rsidRPr="00DB0D79">
        <w:rPr>
          <w:rFonts w:ascii="Times New Roman" w:hAnsi="Times New Roman" w:cs="Times New Roman"/>
          <w:sz w:val="28"/>
          <w:szCs w:val="28"/>
        </w:rPr>
        <w:t xml:space="preserve"> обкатки малогабаритних ДВЗ, за якої тривалість і величина навантажувальних режимів визначатимуться не лише за часом роботи двигуна, а й за фактичною стабілізацією його температурних, енергетичних і </w:t>
      </w:r>
      <w:proofErr w:type="spellStart"/>
      <w:r w:rsidRPr="00DB0D79">
        <w:rPr>
          <w:rFonts w:ascii="Times New Roman" w:hAnsi="Times New Roman" w:cs="Times New Roman"/>
          <w:sz w:val="28"/>
          <w:szCs w:val="28"/>
        </w:rPr>
        <w:t>трибологічних</w:t>
      </w:r>
      <w:proofErr w:type="spellEnd"/>
      <w:r w:rsidRPr="00DB0D79">
        <w:rPr>
          <w:rFonts w:ascii="Times New Roman" w:hAnsi="Times New Roman" w:cs="Times New Roman"/>
          <w:sz w:val="28"/>
          <w:szCs w:val="28"/>
        </w:rPr>
        <w:t xml:space="preserve"> параметрів. Доцільним також є дослідження впливу ступеня забрудненості повітря тваринницького приміщення на інтенсивність припрацювання та зношування </w:t>
      </w:r>
      <w:proofErr w:type="spellStart"/>
      <w:r w:rsidRPr="00DB0D79">
        <w:rPr>
          <w:rFonts w:ascii="Times New Roman" w:hAnsi="Times New Roman" w:cs="Times New Roman"/>
          <w:sz w:val="28"/>
          <w:szCs w:val="28"/>
        </w:rPr>
        <w:t>циліндро</w:t>
      </w:r>
      <w:proofErr w:type="spellEnd"/>
      <w:r w:rsidRPr="00DB0D79">
        <w:rPr>
          <w:rFonts w:ascii="Times New Roman" w:hAnsi="Times New Roman" w:cs="Times New Roman"/>
          <w:sz w:val="28"/>
          <w:szCs w:val="28"/>
        </w:rPr>
        <w:t>-поршневої групи.</w:t>
      </w:r>
    </w:p>
    <w:p w14:paraId="3B19DF2F" w14:textId="77777777" w:rsidR="00DB0D79" w:rsidRPr="00DB0D79" w:rsidRDefault="00DB0D79" w:rsidP="009A6F8B">
      <w:pPr>
        <w:spacing w:after="0" w:line="276" w:lineRule="auto"/>
        <w:ind w:firstLine="709"/>
        <w:jc w:val="both"/>
        <w:rPr>
          <w:rFonts w:ascii="Times New Roman" w:hAnsi="Times New Roman" w:cs="Times New Roman"/>
          <w:sz w:val="28"/>
          <w:szCs w:val="28"/>
        </w:rPr>
      </w:pPr>
    </w:p>
    <w:p w14:paraId="6A93F420" w14:textId="67A0E6A0" w:rsidR="00DB0D79" w:rsidRPr="00DB0D79" w:rsidRDefault="00DB0D79" w:rsidP="009A6F8B">
      <w:pPr>
        <w:spacing w:after="0" w:line="276" w:lineRule="auto"/>
        <w:jc w:val="center"/>
        <w:rPr>
          <w:rFonts w:ascii="Times New Roman" w:hAnsi="Times New Roman" w:cs="Times New Roman"/>
          <w:b/>
          <w:bCs/>
          <w:sz w:val="28"/>
          <w:szCs w:val="28"/>
        </w:rPr>
      </w:pPr>
      <w:r w:rsidRPr="00DB0D79">
        <w:rPr>
          <w:rFonts w:ascii="Times New Roman" w:hAnsi="Times New Roman" w:cs="Times New Roman"/>
          <w:b/>
          <w:bCs/>
          <w:sz w:val="28"/>
          <w:szCs w:val="28"/>
        </w:rPr>
        <w:t>Список використаних джерел</w:t>
      </w:r>
    </w:p>
    <w:p w14:paraId="08509DFF" w14:textId="77777777"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lastRenderedPageBreak/>
        <w:t>Khonsari</w:t>
      </w:r>
      <w:proofErr w:type="spellEnd"/>
      <w:r w:rsidRPr="00DB0D79">
        <w:rPr>
          <w:rFonts w:ascii="Times New Roman" w:hAnsi="Times New Roman" w:cs="Times New Roman"/>
          <w:sz w:val="28"/>
          <w:szCs w:val="28"/>
        </w:rPr>
        <w:t xml:space="preserve"> M. M., </w:t>
      </w:r>
      <w:proofErr w:type="spellStart"/>
      <w:r w:rsidRPr="00DB0D79">
        <w:rPr>
          <w:rFonts w:ascii="Times New Roman" w:hAnsi="Times New Roman" w:cs="Times New Roman"/>
          <w:sz w:val="28"/>
          <w:szCs w:val="28"/>
        </w:rPr>
        <w:t>Ghatrehsamani</w:t>
      </w:r>
      <w:proofErr w:type="spellEnd"/>
      <w:r w:rsidRPr="00DB0D79">
        <w:rPr>
          <w:rFonts w:ascii="Times New Roman" w:hAnsi="Times New Roman" w:cs="Times New Roman"/>
          <w:sz w:val="28"/>
          <w:szCs w:val="28"/>
        </w:rPr>
        <w:t xml:space="preserve"> S., </w:t>
      </w:r>
      <w:proofErr w:type="spellStart"/>
      <w:r w:rsidRPr="00DB0D79">
        <w:rPr>
          <w:rFonts w:ascii="Times New Roman" w:hAnsi="Times New Roman" w:cs="Times New Roman"/>
          <w:sz w:val="28"/>
          <w:szCs w:val="28"/>
        </w:rPr>
        <w:t>Akbarzadeh</w:t>
      </w:r>
      <w:proofErr w:type="spellEnd"/>
      <w:r w:rsidRPr="00DB0D79">
        <w:rPr>
          <w:rFonts w:ascii="Times New Roman" w:hAnsi="Times New Roman" w:cs="Times New Roman"/>
          <w:sz w:val="28"/>
          <w:szCs w:val="28"/>
        </w:rPr>
        <w:t xml:space="preserve"> S. </w:t>
      </w:r>
      <w:proofErr w:type="spellStart"/>
      <w:r w:rsidRPr="00DB0D79">
        <w:rPr>
          <w:rFonts w:ascii="Times New Roman" w:hAnsi="Times New Roman" w:cs="Times New Roman"/>
          <w:sz w:val="28"/>
          <w:szCs w:val="28"/>
        </w:rPr>
        <w: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the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running-in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nature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metallic</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tribo-components</w:t>
      </w:r>
      <w:proofErr w:type="spellEnd"/>
      <w:r w:rsidRPr="00DB0D79">
        <w:rPr>
          <w:rFonts w:ascii="Times New Roman" w:hAnsi="Times New Roman" w:cs="Times New Roman"/>
          <w:sz w:val="28"/>
          <w:szCs w:val="28"/>
        </w:rPr>
        <w:t xml:space="preserve">: A </w:t>
      </w:r>
      <w:proofErr w:type="spellStart"/>
      <w:r w:rsidRPr="00DB0D79">
        <w:rPr>
          <w:rFonts w:ascii="Times New Roman" w:hAnsi="Times New Roman" w:cs="Times New Roman"/>
          <w:sz w:val="28"/>
          <w:szCs w:val="28"/>
        </w:rPr>
        <w:t>review</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Wear</w:t>
      </w:r>
      <w:proofErr w:type="spellEnd"/>
      <w:r w:rsidRPr="00DB0D79">
        <w:rPr>
          <w:rFonts w:ascii="Times New Roman" w:hAnsi="Times New Roman" w:cs="Times New Roman"/>
          <w:sz w:val="28"/>
          <w:szCs w:val="28"/>
        </w:rPr>
        <w:t xml:space="preserve">. 2021.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xml:space="preserve">. 474–475. </w:t>
      </w:r>
      <w:proofErr w:type="spellStart"/>
      <w:r w:rsidRPr="00DB0D79">
        <w:rPr>
          <w:rFonts w:ascii="Times New Roman" w:hAnsi="Times New Roman" w:cs="Times New Roman"/>
          <w:sz w:val="28"/>
          <w:szCs w:val="28"/>
        </w:rPr>
        <w:t>Art</w:t>
      </w:r>
      <w:proofErr w:type="spellEnd"/>
      <w:r w:rsidRPr="00DB0D79">
        <w:rPr>
          <w:rFonts w:ascii="Times New Roman" w:hAnsi="Times New Roman" w:cs="Times New Roman"/>
          <w:sz w:val="28"/>
          <w:szCs w:val="28"/>
        </w:rPr>
        <w:t>. 203871. DOI: 10.1016/j.wear.2021.203871. URL: https://doi.org/10.1016/j.wear.2021.203871 (дата звернення: 04.10.2026).</w:t>
      </w:r>
    </w:p>
    <w:p w14:paraId="38A8DAE8" w14:textId="77777777"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t>Sreenath</w:t>
      </w:r>
      <w:proofErr w:type="spellEnd"/>
      <w:r w:rsidRPr="00DB0D79">
        <w:rPr>
          <w:rFonts w:ascii="Times New Roman" w:hAnsi="Times New Roman" w:cs="Times New Roman"/>
          <w:sz w:val="28"/>
          <w:szCs w:val="28"/>
        </w:rPr>
        <w:t xml:space="preserve"> A. V., </w:t>
      </w:r>
      <w:proofErr w:type="spellStart"/>
      <w:r w:rsidRPr="00DB0D79">
        <w:rPr>
          <w:rFonts w:ascii="Times New Roman" w:hAnsi="Times New Roman" w:cs="Times New Roman"/>
          <w:sz w:val="28"/>
          <w:szCs w:val="28"/>
        </w:rPr>
        <w:t>Raman</w:t>
      </w:r>
      <w:proofErr w:type="spellEnd"/>
      <w:r w:rsidRPr="00DB0D79">
        <w:rPr>
          <w:rFonts w:ascii="Times New Roman" w:hAnsi="Times New Roman" w:cs="Times New Roman"/>
          <w:sz w:val="28"/>
          <w:szCs w:val="28"/>
        </w:rPr>
        <w:t xml:space="preserve"> N. </w:t>
      </w:r>
      <w:proofErr w:type="spellStart"/>
      <w:r w:rsidRPr="00DB0D79">
        <w:rPr>
          <w:rFonts w:ascii="Times New Roman" w:hAnsi="Times New Roman" w:cs="Times New Roman"/>
          <w:sz w:val="28"/>
          <w:szCs w:val="28"/>
        </w:rPr>
        <w:t>Running-in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wear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a </w:t>
      </w:r>
      <w:proofErr w:type="spellStart"/>
      <w:r w:rsidRPr="00DB0D79">
        <w:rPr>
          <w:rFonts w:ascii="Times New Roman" w:hAnsi="Times New Roman" w:cs="Times New Roman"/>
          <w:sz w:val="28"/>
          <w:szCs w:val="28"/>
        </w:rPr>
        <w:t>compression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ignition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engine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Factors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influencing</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the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conformance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between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cylinder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liner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and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piston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rings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Wear</w:t>
      </w:r>
      <w:proofErr w:type="spellEnd"/>
      <w:r w:rsidRPr="00DB0D79">
        <w:rPr>
          <w:rFonts w:ascii="Times New Roman" w:hAnsi="Times New Roman" w:cs="Times New Roman"/>
          <w:sz w:val="28"/>
          <w:szCs w:val="28"/>
        </w:rPr>
        <w:t xml:space="preserve">. 1976.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xml:space="preserve">. 38, </w:t>
      </w:r>
      <w:proofErr w:type="spellStart"/>
      <w:r w:rsidRPr="00DB0D79">
        <w:rPr>
          <w:rFonts w:ascii="Times New Roman" w:hAnsi="Times New Roman" w:cs="Times New Roman"/>
          <w:sz w:val="28"/>
          <w:szCs w:val="28"/>
        </w:rPr>
        <w:t>No</w:t>
      </w:r>
      <w:proofErr w:type="spellEnd"/>
      <w:r w:rsidRPr="00DB0D79">
        <w:rPr>
          <w:rFonts w:ascii="Times New Roman" w:hAnsi="Times New Roman" w:cs="Times New Roman"/>
          <w:sz w:val="28"/>
          <w:szCs w:val="28"/>
        </w:rPr>
        <w:t>. 2. P. 271–289. DOI: 10.1016/0043-1648(76)90076-4. URL: https://doi.org/10.1016/0043-1648(76)90076-4 (дата звернення: 04.10.2026).</w:t>
      </w:r>
    </w:p>
    <w:p w14:paraId="589923F5" w14:textId="77777777"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t>Gu</w:t>
      </w:r>
      <w:proofErr w:type="spellEnd"/>
      <w:r w:rsidRPr="00DB0D79">
        <w:rPr>
          <w:rFonts w:ascii="Times New Roman" w:hAnsi="Times New Roman" w:cs="Times New Roman"/>
          <w:sz w:val="28"/>
          <w:szCs w:val="28"/>
        </w:rPr>
        <w:t xml:space="preserve"> C., </w:t>
      </w:r>
      <w:proofErr w:type="spellStart"/>
      <w:r w:rsidRPr="00DB0D79">
        <w:rPr>
          <w:rFonts w:ascii="Times New Roman" w:hAnsi="Times New Roman" w:cs="Times New Roman"/>
          <w:sz w:val="28"/>
          <w:szCs w:val="28"/>
        </w:rPr>
        <w:t>Wang</w:t>
      </w:r>
      <w:proofErr w:type="spellEnd"/>
      <w:r w:rsidRPr="00DB0D79">
        <w:rPr>
          <w:rFonts w:ascii="Times New Roman" w:hAnsi="Times New Roman" w:cs="Times New Roman"/>
          <w:sz w:val="28"/>
          <w:szCs w:val="28"/>
        </w:rPr>
        <w:t xml:space="preserve"> R., </w:t>
      </w:r>
      <w:proofErr w:type="spellStart"/>
      <w:r w:rsidRPr="00DB0D79">
        <w:rPr>
          <w:rFonts w:ascii="Times New Roman" w:hAnsi="Times New Roman" w:cs="Times New Roman"/>
          <w:sz w:val="28"/>
          <w:szCs w:val="28"/>
        </w:rPr>
        <w:t>Tian</w:t>
      </w:r>
      <w:proofErr w:type="spellEnd"/>
      <w:r w:rsidRPr="00DB0D79">
        <w:rPr>
          <w:rFonts w:ascii="Times New Roman" w:hAnsi="Times New Roman" w:cs="Times New Roman"/>
          <w:sz w:val="28"/>
          <w:szCs w:val="28"/>
        </w:rPr>
        <w:t xml:space="preserve"> T. </w:t>
      </w:r>
      <w:proofErr w:type="spellStart"/>
      <w:r w:rsidRPr="00DB0D79">
        <w:rPr>
          <w:rFonts w:ascii="Times New Roman" w:hAnsi="Times New Roman" w:cs="Times New Roman"/>
          <w:sz w:val="28"/>
          <w:szCs w:val="28"/>
        </w:rPr>
        <w:t>Modeling</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the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fatigue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wear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the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cylinder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liner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internal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combustion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engines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during</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the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break-in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period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and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its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impact</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piston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ring</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lubrication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Lubricants</w:t>
      </w:r>
      <w:proofErr w:type="spellEnd"/>
      <w:r w:rsidRPr="00DB0D79">
        <w:rPr>
          <w:rFonts w:ascii="Times New Roman" w:hAnsi="Times New Roman" w:cs="Times New Roman"/>
          <w:sz w:val="28"/>
          <w:szCs w:val="28"/>
        </w:rPr>
        <w:t xml:space="preserve">. 2019.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xml:space="preserve">. 7, </w:t>
      </w:r>
      <w:proofErr w:type="spellStart"/>
      <w:r w:rsidRPr="00DB0D79">
        <w:rPr>
          <w:rFonts w:ascii="Times New Roman" w:hAnsi="Times New Roman" w:cs="Times New Roman"/>
          <w:sz w:val="28"/>
          <w:szCs w:val="28"/>
        </w:rPr>
        <w:t>No</w:t>
      </w:r>
      <w:proofErr w:type="spellEnd"/>
      <w:r w:rsidRPr="00DB0D79">
        <w:rPr>
          <w:rFonts w:ascii="Times New Roman" w:hAnsi="Times New Roman" w:cs="Times New Roman"/>
          <w:sz w:val="28"/>
          <w:szCs w:val="28"/>
        </w:rPr>
        <w:t xml:space="preserve">. 10. </w:t>
      </w:r>
      <w:proofErr w:type="spellStart"/>
      <w:r w:rsidRPr="00DB0D79">
        <w:rPr>
          <w:rFonts w:ascii="Times New Roman" w:hAnsi="Times New Roman" w:cs="Times New Roman"/>
          <w:sz w:val="28"/>
          <w:szCs w:val="28"/>
        </w:rPr>
        <w:t>Art</w:t>
      </w:r>
      <w:proofErr w:type="spellEnd"/>
      <w:r w:rsidRPr="00DB0D79">
        <w:rPr>
          <w:rFonts w:ascii="Times New Roman" w:hAnsi="Times New Roman" w:cs="Times New Roman"/>
          <w:sz w:val="28"/>
          <w:szCs w:val="28"/>
        </w:rPr>
        <w:t>. 89. DOI: 10.3390/lubricants7100089. URL: https://doi.org/10.3390/lubricants7100089 (дата звернення: 04.10.2026).</w:t>
      </w:r>
    </w:p>
    <w:p w14:paraId="169BB8DF" w14:textId="77777777"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t>Issa</w:t>
      </w:r>
      <w:proofErr w:type="spellEnd"/>
      <w:r w:rsidRPr="00DB0D79">
        <w:rPr>
          <w:rFonts w:ascii="Times New Roman" w:hAnsi="Times New Roman" w:cs="Times New Roman"/>
          <w:sz w:val="28"/>
          <w:szCs w:val="28"/>
        </w:rPr>
        <w:t xml:space="preserve"> M., </w:t>
      </w:r>
      <w:proofErr w:type="spellStart"/>
      <w:r w:rsidRPr="00DB0D79">
        <w:rPr>
          <w:rFonts w:ascii="Times New Roman" w:hAnsi="Times New Roman" w:cs="Times New Roman"/>
          <w:sz w:val="28"/>
          <w:szCs w:val="28"/>
        </w:rPr>
        <w:t>Ibrahim</w:t>
      </w:r>
      <w:proofErr w:type="spellEnd"/>
      <w:r w:rsidRPr="00DB0D79">
        <w:rPr>
          <w:rFonts w:ascii="Times New Roman" w:hAnsi="Times New Roman" w:cs="Times New Roman"/>
          <w:sz w:val="28"/>
          <w:szCs w:val="28"/>
        </w:rPr>
        <w:t xml:space="preserve"> H., </w:t>
      </w:r>
      <w:proofErr w:type="spellStart"/>
      <w:r w:rsidRPr="00DB0D79">
        <w:rPr>
          <w:rFonts w:ascii="Times New Roman" w:hAnsi="Times New Roman" w:cs="Times New Roman"/>
          <w:sz w:val="28"/>
          <w:szCs w:val="28"/>
        </w:rPr>
        <w:t>Hosni</w:t>
      </w:r>
      <w:proofErr w:type="spellEnd"/>
      <w:r w:rsidRPr="00DB0D79">
        <w:rPr>
          <w:rFonts w:ascii="Times New Roman" w:hAnsi="Times New Roman" w:cs="Times New Roman"/>
          <w:sz w:val="28"/>
          <w:szCs w:val="28"/>
        </w:rPr>
        <w:t xml:space="preserve"> H., </w:t>
      </w:r>
      <w:proofErr w:type="spellStart"/>
      <w:r w:rsidRPr="00DB0D79">
        <w:rPr>
          <w:rFonts w:ascii="Times New Roman" w:hAnsi="Times New Roman" w:cs="Times New Roman"/>
          <w:sz w:val="28"/>
          <w:szCs w:val="28"/>
        </w:rPr>
        <w:t>Ilinca</w:t>
      </w:r>
      <w:proofErr w:type="spellEnd"/>
      <w:r w:rsidRPr="00DB0D79">
        <w:rPr>
          <w:rFonts w:ascii="Times New Roman" w:hAnsi="Times New Roman" w:cs="Times New Roman"/>
          <w:sz w:val="28"/>
          <w:szCs w:val="28"/>
        </w:rPr>
        <w:t xml:space="preserve"> A., </w:t>
      </w:r>
      <w:proofErr w:type="spellStart"/>
      <w:r w:rsidRPr="00DB0D79">
        <w:rPr>
          <w:rFonts w:ascii="Times New Roman" w:hAnsi="Times New Roman" w:cs="Times New Roman"/>
          <w:sz w:val="28"/>
          <w:szCs w:val="28"/>
        </w:rPr>
        <w:t>Rezkallah</w:t>
      </w:r>
      <w:proofErr w:type="spellEnd"/>
      <w:r w:rsidRPr="00DB0D79">
        <w:rPr>
          <w:rFonts w:ascii="Times New Roman" w:hAnsi="Times New Roman" w:cs="Times New Roman"/>
          <w:sz w:val="28"/>
          <w:szCs w:val="28"/>
        </w:rPr>
        <w:t xml:space="preserve"> M. </w:t>
      </w:r>
      <w:proofErr w:type="spellStart"/>
      <w:r w:rsidRPr="00DB0D79">
        <w:rPr>
          <w:rFonts w:ascii="Times New Roman" w:hAnsi="Times New Roman" w:cs="Times New Roman"/>
          <w:sz w:val="28"/>
          <w:szCs w:val="28"/>
        </w:rPr>
        <w:t>Effects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low</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charge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and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environmental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conditions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diesel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generators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operation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Eng</w:t>
      </w:r>
      <w:proofErr w:type="spellEnd"/>
      <w:r w:rsidRPr="00DB0D79">
        <w:rPr>
          <w:rFonts w:ascii="Times New Roman" w:hAnsi="Times New Roman" w:cs="Times New Roman"/>
          <w:sz w:val="28"/>
          <w:szCs w:val="28"/>
        </w:rPr>
        <w:t xml:space="preserve">. 2020.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xml:space="preserve">. 1, </w:t>
      </w:r>
      <w:proofErr w:type="spellStart"/>
      <w:r w:rsidRPr="00DB0D79">
        <w:rPr>
          <w:rFonts w:ascii="Times New Roman" w:hAnsi="Times New Roman" w:cs="Times New Roman"/>
          <w:sz w:val="28"/>
          <w:szCs w:val="28"/>
        </w:rPr>
        <w:t>No</w:t>
      </w:r>
      <w:proofErr w:type="spellEnd"/>
      <w:r w:rsidRPr="00DB0D79">
        <w:rPr>
          <w:rFonts w:ascii="Times New Roman" w:hAnsi="Times New Roman" w:cs="Times New Roman"/>
          <w:sz w:val="28"/>
          <w:szCs w:val="28"/>
        </w:rPr>
        <w:t>. 2. P. 137–152. DOI: 10.3390/eng1020009. URL: https://doi.org/10.3390/eng1020009 (дата звернення: 04.10.2026).</w:t>
      </w:r>
    </w:p>
    <w:p w14:paraId="556F688D" w14:textId="77777777"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t>Miao</w:t>
      </w:r>
      <w:proofErr w:type="spellEnd"/>
      <w:r w:rsidRPr="00DB0D79">
        <w:rPr>
          <w:rFonts w:ascii="Times New Roman" w:hAnsi="Times New Roman" w:cs="Times New Roman"/>
          <w:sz w:val="28"/>
          <w:szCs w:val="28"/>
        </w:rPr>
        <w:t xml:space="preserve"> C., </w:t>
      </w:r>
      <w:proofErr w:type="spellStart"/>
      <w:r w:rsidRPr="00DB0D79">
        <w:rPr>
          <w:rFonts w:ascii="Times New Roman" w:hAnsi="Times New Roman" w:cs="Times New Roman"/>
          <w:sz w:val="28"/>
          <w:szCs w:val="28"/>
        </w:rPr>
        <w:t>Guo</w:t>
      </w:r>
      <w:proofErr w:type="spellEnd"/>
      <w:r w:rsidRPr="00DB0D79">
        <w:rPr>
          <w:rFonts w:ascii="Times New Roman" w:hAnsi="Times New Roman" w:cs="Times New Roman"/>
          <w:sz w:val="28"/>
          <w:szCs w:val="28"/>
        </w:rPr>
        <w:t xml:space="preserve"> Z., </w:t>
      </w:r>
      <w:proofErr w:type="spellStart"/>
      <w:r w:rsidRPr="00DB0D79">
        <w:rPr>
          <w:rFonts w:ascii="Times New Roman" w:hAnsi="Times New Roman" w:cs="Times New Roman"/>
          <w:sz w:val="28"/>
          <w:szCs w:val="28"/>
        </w:rPr>
        <w:t>Yuan</w:t>
      </w:r>
      <w:proofErr w:type="spellEnd"/>
      <w:r w:rsidRPr="00DB0D79">
        <w:rPr>
          <w:rFonts w:ascii="Times New Roman" w:hAnsi="Times New Roman" w:cs="Times New Roman"/>
          <w:sz w:val="28"/>
          <w:szCs w:val="28"/>
        </w:rPr>
        <w:t xml:space="preserve"> C. </w:t>
      </w:r>
      <w:proofErr w:type="spellStart"/>
      <w:r w:rsidRPr="00DB0D79">
        <w:rPr>
          <w:rFonts w:ascii="Times New Roman" w:hAnsi="Times New Roman" w:cs="Times New Roman"/>
          <w:sz w:val="28"/>
          <w:szCs w:val="28"/>
        </w:rPr>
        <w:t>Tribological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behavior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co-textured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cylinder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liner-piston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ring</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during</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running-in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Friction</w:t>
      </w:r>
      <w:proofErr w:type="spellEnd"/>
      <w:r w:rsidRPr="00DB0D79">
        <w:rPr>
          <w:rFonts w:ascii="Times New Roman" w:hAnsi="Times New Roman" w:cs="Times New Roman"/>
          <w:sz w:val="28"/>
          <w:szCs w:val="28"/>
        </w:rPr>
        <w:t xml:space="preserve">. 2022.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10. P. 878–890. DOI: 10.1007/s40544-021-0499-z. URL: https://doi.org/10.1007/s40544-021-0499-z (дата звернення: 04.10.2026).</w:t>
      </w:r>
    </w:p>
    <w:p w14:paraId="6FB03A0C" w14:textId="77777777"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t>Cambra-López</w:t>
      </w:r>
      <w:proofErr w:type="spellEnd"/>
      <w:r w:rsidRPr="00DB0D79">
        <w:rPr>
          <w:rFonts w:ascii="Times New Roman" w:hAnsi="Times New Roman" w:cs="Times New Roman"/>
          <w:sz w:val="28"/>
          <w:szCs w:val="28"/>
        </w:rPr>
        <w:t xml:space="preserve"> M., </w:t>
      </w:r>
      <w:proofErr w:type="spellStart"/>
      <w:r w:rsidRPr="00DB0D79">
        <w:rPr>
          <w:rFonts w:ascii="Times New Roman" w:hAnsi="Times New Roman" w:cs="Times New Roman"/>
          <w:sz w:val="28"/>
          <w:szCs w:val="28"/>
        </w:rPr>
        <w:t>Aarnink</w:t>
      </w:r>
      <w:proofErr w:type="spellEnd"/>
      <w:r w:rsidRPr="00DB0D79">
        <w:rPr>
          <w:rFonts w:ascii="Times New Roman" w:hAnsi="Times New Roman" w:cs="Times New Roman"/>
          <w:sz w:val="28"/>
          <w:szCs w:val="28"/>
        </w:rPr>
        <w:t xml:space="preserve"> A. J. A., </w:t>
      </w:r>
      <w:proofErr w:type="spellStart"/>
      <w:r w:rsidRPr="00DB0D79">
        <w:rPr>
          <w:rFonts w:ascii="Times New Roman" w:hAnsi="Times New Roman" w:cs="Times New Roman"/>
          <w:sz w:val="28"/>
          <w:szCs w:val="28"/>
        </w:rPr>
        <w:t>Zhao</w:t>
      </w:r>
      <w:proofErr w:type="spellEnd"/>
      <w:r w:rsidRPr="00DB0D79">
        <w:rPr>
          <w:rFonts w:ascii="Times New Roman" w:hAnsi="Times New Roman" w:cs="Times New Roman"/>
          <w:sz w:val="28"/>
          <w:szCs w:val="28"/>
        </w:rPr>
        <w:t xml:space="preserve"> Y., </w:t>
      </w:r>
      <w:proofErr w:type="spellStart"/>
      <w:r w:rsidRPr="00DB0D79">
        <w:rPr>
          <w:rFonts w:ascii="Times New Roman" w:hAnsi="Times New Roman" w:cs="Times New Roman"/>
          <w:sz w:val="28"/>
          <w:szCs w:val="28"/>
        </w:rPr>
        <w:t>Calvet</w:t>
      </w:r>
      <w:proofErr w:type="spellEnd"/>
      <w:r w:rsidRPr="00DB0D79">
        <w:rPr>
          <w:rFonts w:ascii="Times New Roman" w:hAnsi="Times New Roman" w:cs="Times New Roman"/>
          <w:sz w:val="28"/>
          <w:szCs w:val="28"/>
        </w:rPr>
        <w:t xml:space="preserve"> S., </w:t>
      </w:r>
      <w:proofErr w:type="spellStart"/>
      <w:r w:rsidRPr="00DB0D79">
        <w:rPr>
          <w:rFonts w:ascii="Times New Roman" w:hAnsi="Times New Roman" w:cs="Times New Roman"/>
          <w:sz w:val="28"/>
          <w:szCs w:val="28"/>
        </w:rPr>
        <w:t>Torres</w:t>
      </w:r>
      <w:proofErr w:type="spellEnd"/>
      <w:r w:rsidRPr="00DB0D79">
        <w:rPr>
          <w:rFonts w:ascii="Times New Roman" w:hAnsi="Times New Roman" w:cs="Times New Roman"/>
          <w:sz w:val="28"/>
          <w:szCs w:val="28"/>
        </w:rPr>
        <w:t xml:space="preserve"> A. G. </w:t>
      </w:r>
      <w:proofErr w:type="spellStart"/>
      <w:r w:rsidRPr="00DB0D79">
        <w:rPr>
          <w:rFonts w:ascii="Times New Roman" w:hAnsi="Times New Roman" w:cs="Times New Roman"/>
          <w:sz w:val="28"/>
          <w:szCs w:val="28"/>
        </w:rPr>
        <w:t>Airborne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particulate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matter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from</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livestock</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production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systems</w:t>
      </w:r>
      <w:proofErr w:type="spellEnd"/>
      <w:r w:rsidRPr="00DB0D79">
        <w:rPr>
          <w:rFonts w:ascii="Times New Roman" w:hAnsi="Times New Roman" w:cs="Times New Roman"/>
          <w:sz w:val="28"/>
          <w:szCs w:val="28"/>
        </w:rPr>
        <w:t xml:space="preserve">: A </w:t>
      </w:r>
      <w:proofErr w:type="spellStart"/>
      <w:r w:rsidRPr="00DB0D79">
        <w:rPr>
          <w:rFonts w:ascii="Times New Roman" w:hAnsi="Times New Roman" w:cs="Times New Roman"/>
          <w:sz w:val="28"/>
          <w:szCs w:val="28"/>
        </w:rPr>
        <w:t>review</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air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pollution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problem</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Environmental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Pollution</w:t>
      </w:r>
      <w:proofErr w:type="spellEnd"/>
      <w:r w:rsidRPr="00DB0D79">
        <w:rPr>
          <w:rFonts w:ascii="Times New Roman" w:hAnsi="Times New Roman" w:cs="Times New Roman"/>
          <w:sz w:val="28"/>
          <w:szCs w:val="28"/>
        </w:rPr>
        <w:t xml:space="preserve">. 2010.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xml:space="preserve">. 158, </w:t>
      </w:r>
      <w:proofErr w:type="spellStart"/>
      <w:r w:rsidRPr="00DB0D79">
        <w:rPr>
          <w:rFonts w:ascii="Times New Roman" w:hAnsi="Times New Roman" w:cs="Times New Roman"/>
          <w:sz w:val="28"/>
          <w:szCs w:val="28"/>
        </w:rPr>
        <w:t>No</w:t>
      </w:r>
      <w:proofErr w:type="spellEnd"/>
      <w:r w:rsidRPr="00DB0D79">
        <w:rPr>
          <w:rFonts w:ascii="Times New Roman" w:hAnsi="Times New Roman" w:cs="Times New Roman"/>
          <w:sz w:val="28"/>
          <w:szCs w:val="28"/>
        </w:rPr>
        <w:t>. 1. P. 1–17. DOI: 10.1016/j.envpol.2009.07.011. URL: https://doi.org/10.1016/j.envpol.2009.07.011 (дата звернення: 04.10.2026).</w:t>
      </w:r>
    </w:p>
    <w:p w14:paraId="34110B07" w14:textId="77777777"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t>Groot</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Koerkamp</w:t>
      </w:r>
      <w:proofErr w:type="spellEnd"/>
      <w:r w:rsidRPr="00DB0D79">
        <w:rPr>
          <w:rFonts w:ascii="Times New Roman" w:hAnsi="Times New Roman" w:cs="Times New Roman"/>
          <w:sz w:val="28"/>
          <w:szCs w:val="28"/>
        </w:rPr>
        <w:t xml:space="preserve"> P. W. G., </w:t>
      </w:r>
      <w:proofErr w:type="spellStart"/>
      <w:r w:rsidRPr="00DB0D79">
        <w:rPr>
          <w:rFonts w:ascii="Times New Roman" w:hAnsi="Times New Roman" w:cs="Times New Roman"/>
          <w:sz w:val="28"/>
          <w:szCs w:val="28"/>
        </w:rPr>
        <w:t>Metz</w:t>
      </w:r>
      <w:proofErr w:type="spellEnd"/>
      <w:r w:rsidRPr="00DB0D79">
        <w:rPr>
          <w:rFonts w:ascii="Times New Roman" w:hAnsi="Times New Roman" w:cs="Times New Roman"/>
          <w:sz w:val="28"/>
          <w:szCs w:val="28"/>
        </w:rPr>
        <w:t xml:space="preserve"> J. H. M., </w:t>
      </w:r>
      <w:proofErr w:type="spellStart"/>
      <w:r w:rsidRPr="00DB0D79">
        <w:rPr>
          <w:rFonts w:ascii="Times New Roman" w:hAnsi="Times New Roman" w:cs="Times New Roman"/>
          <w:sz w:val="28"/>
          <w:szCs w:val="28"/>
        </w:rPr>
        <w:t>Uenk</w:t>
      </w:r>
      <w:proofErr w:type="spellEnd"/>
      <w:r w:rsidRPr="00DB0D79">
        <w:rPr>
          <w:rFonts w:ascii="Times New Roman" w:hAnsi="Times New Roman" w:cs="Times New Roman"/>
          <w:sz w:val="28"/>
          <w:szCs w:val="28"/>
        </w:rPr>
        <w:t xml:space="preserve"> G. H. </w:t>
      </w:r>
      <w:proofErr w:type="spellStart"/>
      <w:r w:rsidRPr="00DB0D79">
        <w:rPr>
          <w:rFonts w:ascii="Times New Roman" w:hAnsi="Times New Roman" w:cs="Times New Roman"/>
          <w:sz w:val="28"/>
          <w:szCs w:val="28"/>
        </w:rPr>
        <w:t>Concentrations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and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emissions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ammonia</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livestock</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buildings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Northern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Europe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Journal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Agricultural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Engineering</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Research</w:t>
      </w:r>
      <w:proofErr w:type="spellEnd"/>
      <w:r w:rsidRPr="00DB0D79">
        <w:rPr>
          <w:rFonts w:ascii="Times New Roman" w:hAnsi="Times New Roman" w:cs="Times New Roman"/>
          <w:sz w:val="28"/>
          <w:szCs w:val="28"/>
        </w:rPr>
        <w:t xml:space="preserve">. 1998.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xml:space="preserve">. 70, </w:t>
      </w:r>
      <w:proofErr w:type="spellStart"/>
      <w:r w:rsidRPr="00DB0D79">
        <w:rPr>
          <w:rFonts w:ascii="Times New Roman" w:hAnsi="Times New Roman" w:cs="Times New Roman"/>
          <w:sz w:val="28"/>
          <w:szCs w:val="28"/>
        </w:rPr>
        <w:t>No</w:t>
      </w:r>
      <w:proofErr w:type="spellEnd"/>
      <w:r w:rsidRPr="00DB0D79">
        <w:rPr>
          <w:rFonts w:ascii="Times New Roman" w:hAnsi="Times New Roman" w:cs="Times New Roman"/>
          <w:sz w:val="28"/>
          <w:szCs w:val="28"/>
        </w:rPr>
        <w:t>. 1. P. 79–95. DOI: 10.1006/jaer.1998.0275. URL: https://doi.org/10.1006/jaer.1998.0275 (дата звернення: 04.10.2026).</w:t>
      </w:r>
    </w:p>
    <w:p w14:paraId="26D5FFED" w14:textId="77777777"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t>Dziubak</w:t>
      </w:r>
      <w:proofErr w:type="spellEnd"/>
      <w:r w:rsidRPr="00DB0D79">
        <w:rPr>
          <w:rFonts w:ascii="Times New Roman" w:hAnsi="Times New Roman" w:cs="Times New Roman"/>
          <w:sz w:val="28"/>
          <w:szCs w:val="28"/>
        </w:rPr>
        <w:t xml:space="preserve"> T., </w:t>
      </w:r>
      <w:proofErr w:type="spellStart"/>
      <w:r w:rsidRPr="00DB0D79">
        <w:rPr>
          <w:rFonts w:ascii="Times New Roman" w:hAnsi="Times New Roman" w:cs="Times New Roman"/>
          <w:sz w:val="28"/>
          <w:szCs w:val="28"/>
        </w:rPr>
        <w:t>Dziubak</w:t>
      </w:r>
      <w:proofErr w:type="spellEnd"/>
      <w:r w:rsidRPr="00DB0D79">
        <w:rPr>
          <w:rFonts w:ascii="Times New Roman" w:hAnsi="Times New Roman" w:cs="Times New Roman"/>
          <w:sz w:val="28"/>
          <w:szCs w:val="28"/>
        </w:rPr>
        <w:t xml:space="preserve"> S. D. A </w:t>
      </w:r>
      <w:proofErr w:type="spellStart"/>
      <w:r w:rsidRPr="00DB0D79">
        <w:rPr>
          <w:rFonts w:ascii="Times New Roman" w:hAnsi="Times New Roman" w:cs="Times New Roman"/>
          <w:sz w:val="28"/>
          <w:szCs w:val="28"/>
        </w:rPr>
        <w:t>study</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the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effect</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inlet</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air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pollution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the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engine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component</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wear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and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operation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Energies</w:t>
      </w:r>
      <w:proofErr w:type="spellEnd"/>
      <w:r w:rsidRPr="00DB0D79">
        <w:rPr>
          <w:rFonts w:ascii="Times New Roman" w:hAnsi="Times New Roman" w:cs="Times New Roman"/>
          <w:sz w:val="28"/>
          <w:szCs w:val="28"/>
        </w:rPr>
        <w:t xml:space="preserve">. 2022.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xml:space="preserve">. 15, </w:t>
      </w:r>
      <w:proofErr w:type="spellStart"/>
      <w:r w:rsidRPr="00DB0D79">
        <w:rPr>
          <w:rFonts w:ascii="Times New Roman" w:hAnsi="Times New Roman" w:cs="Times New Roman"/>
          <w:sz w:val="28"/>
          <w:szCs w:val="28"/>
        </w:rPr>
        <w:t>No</w:t>
      </w:r>
      <w:proofErr w:type="spellEnd"/>
      <w:r w:rsidRPr="00DB0D79">
        <w:rPr>
          <w:rFonts w:ascii="Times New Roman" w:hAnsi="Times New Roman" w:cs="Times New Roman"/>
          <w:sz w:val="28"/>
          <w:szCs w:val="28"/>
        </w:rPr>
        <w:t xml:space="preserve">. 3. </w:t>
      </w:r>
      <w:proofErr w:type="spellStart"/>
      <w:r w:rsidRPr="00DB0D79">
        <w:rPr>
          <w:rFonts w:ascii="Times New Roman" w:hAnsi="Times New Roman" w:cs="Times New Roman"/>
          <w:sz w:val="28"/>
          <w:szCs w:val="28"/>
        </w:rPr>
        <w:t>Art</w:t>
      </w:r>
      <w:proofErr w:type="spellEnd"/>
      <w:r w:rsidRPr="00DB0D79">
        <w:rPr>
          <w:rFonts w:ascii="Times New Roman" w:hAnsi="Times New Roman" w:cs="Times New Roman"/>
          <w:sz w:val="28"/>
          <w:szCs w:val="28"/>
        </w:rPr>
        <w:t>. 1182. DOI: 10.3390/en15031182. URL: https://doi.org/10.3390/en15031182 (дата звернення: 04.10.2026).</w:t>
      </w:r>
    </w:p>
    <w:p w14:paraId="0861492D" w14:textId="6551AEF0" w:rsidR="00DB0D79" w:rsidRPr="00DB0D79" w:rsidRDefault="00DB0D79" w:rsidP="009A6F8B">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DB0D79">
        <w:rPr>
          <w:rFonts w:ascii="Times New Roman" w:hAnsi="Times New Roman" w:cs="Times New Roman"/>
          <w:sz w:val="28"/>
          <w:szCs w:val="28"/>
        </w:rPr>
        <w:t>Akal</w:t>
      </w:r>
      <w:proofErr w:type="spellEnd"/>
      <w:r w:rsidRPr="00DB0D79">
        <w:rPr>
          <w:rFonts w:ascii="Times New Roman" w:hAnsi="Times New Roman" w:cs="Times New Roman"/>
          <w:sz w:val="28"/>
          <w:szCs w:val="28"/>
        </w:rPr>
        <w:t xml:space="preserve"> D., </w:t>
      </w:r>
      <w:proofErr w:type="spellStart"/>
      <w:r w:rsidRPr="00DB0D79">
        <w:rPr>
          <w:rFonts w:ascii="Times New Roman" w:hAnsi="Times New Roman" w:cs="Times New Roman"/>
          <w:sz w:val="28"/>
          <w:szCs w:val="28"/>
        </w:rPr>
        <w:t>Selvi</w:t>
      </w:r>
      <w:proofErr w:type="spellEnd"/>
      <w:r w:rsidRPr="00DB0D79">
        <w:rPr>
          <w:rFonts w:ascii="Times New Roman" w:hAnsi="Times New Roman" w:cs="Times New Roman"/>
          <w:sz w:val="28"/>
          <w:szCs w:val="28"/>
        </w:rPr>
        <w:t xml:space="preserve"> İ. </w:t>
      </w:r>
      <w:proofErr w:type="spellStart"/>
      <w:r w:rsidRPr="00DB0D79">
        <w:rPr>
          <w:rFonts w:ascii="Times New Roman" w:hAnsi="Times New Roman" w:cs="Times New Roman"/>
          <w:sz w:val="28"/>
          <w:szCs w:val="28"/>
        </w:rPr>
        <w:t>Effects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clogged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air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filter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power</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torque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fuel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consumption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and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emissions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of</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diesel</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engines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in</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tractors</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Petroleum</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Science</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and</w:t>
      </w:r>
      <w:proofErr w:type="spellEnd"/>
      <w:r w:rsidRPr="00DB0D79">
        <w:rPr>
          <w:rFonts w:ascii="Times New Roman" w:hAnsi="Times New Roman" w:cs="Times New Roman"/>
          <w:sz w:val="28"/>
          <w:szCs w:val="28"/>
        </w:rPr>
        <w:t xml:space="preserve"> </w:t>
      </w:r>
      <w:proofErr w:type="spellStart"/>
      <w:r w:rsidRPr="00DB0D79">
        <w:rPr>
          <w:rFonts w:ascii="Times New Roman" w:hAnsi="Times New Roman" w:cs="Times New Roman"/>
          <w:sz w:val="28"/>
          <w:szCs w:val="28"/>
        </w:rPr>
        <w:t>Technology</w:t>
      </w:r>
      <w:proofErr w:type="spellEnd"/>
      <w:r w:rsidRPr="00DB0D79">
        <w:rPr>
          <w:rFonts w:ascii="Times New Roman" w:hAnsi="Times New Roman" w:cs="Times New Roman"/>
          <w:sz w:val="28"/>
          <w:szCs w:val="28"/>
        </w:rPr>
        <w:t xml:space="preserve">. 2023. </w:t>
      </w:r>
      <w:proofErr w:type="spellStart"/>
      <w:r w:rsidRPr="00DB0D79">
        <w:rPr>
          <w:rFonts w:ascii="Times New Roman" w:hAnsi="Times New Roman" w:cs="Times New Roman"/>
          <w:sz w:val="28"/>
          <w:szCs w:val="28"/>
        </w:rPr>
        <w:t>Vol</w:t>
      </w:r>
      <w:proofErr w:type="spellEnd"/>
      <w:r w:rsidRPr="00DB0D79">
        <w:rPr>
          <w:rFonts w:ascii="Times New Roman" w:hAnsi="Times New Roman" w:cs="Times New Roman"/>
          <w:sz w:val="28"/>
          <w:szCs w:val="28"/>
        </w:rPr>
        <w:t xml:space="preserve">. 41, </w:t>
      </w:r>
      <w:proofErr w:type="spellStart"/>
      <w:r w:rsidRPr="00DB0D79">
        <w:rPr>
          <w:rFonts w:ascii="Times New Roman" w:hAnsi="Times New Roman" w:cs="Times New Roman"/>
          <w:sz w:val="28"/>
          <w:szCs w:val="28"/>
        </w:rPr>
        <w:t>No</w:t>
      </w:r>
      <w:proofErr w:type="spellEnd"/>
      <w:r w:rsidRPr="00DB0D79">
        <w:rPr>
          <w:rFonts w:ascii="Times New Roman" w:hAnsi="Times New Roman" w:cs="Times New Roman"/>
          <w:sz w:val="28"/>
          <w:szCs w:val="28"/>
        </w:rPr>
        <w:t>. 24. P. 2419–2433. DOI: 10.1080/10916466.2023.2230248. URL: https://doi.org/10.1080/10916466.2023.2230248 (дата звернення: 04.10.2026).</w:t>
      </w:r>
    </w:p>
    <w:sectPr w:rsidR="00DB0D79" w:rsidRPr="00DB0D79" w:rsidSect="00B80FE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9F0D27"/>
    <w:multiLevelType w:val="hybridMultilevel"/>
    <w:tmpl w:val="98268C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582759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9B8"/>
    <w:rsid w:val="00293F69"/>
    <w:rsid w:val="00414AE7"/>
    <w:rsid w:val="0042298E"/>
    <w:rsid w:val="00595CB8"/>
    <w:rsid w:val="00636D7E"/>
    <w:rsid w:val="006A0E7F"/>
    <w:rsid w:val="008B1FC2"/>
    <w:rsid w:val="009A6F8B"/>
    <w:rsid w:val="00B80FE0"/>
    <w:rsid w:val="00BC19B8"/>
    <w:rsid w:val="00DB0D79"/>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5BB66"/>
  <w15:chartTrackingRefBased/>
  <w15:docId w15:val="{6E0C3B7B-CFE6-4796-A0DE-5BF0C5DB7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0FE0"/>
  </w:style>
  <w:style w:type="paragraph" w:styleId="1">
    <w:name w:val="heading 1"/>
    <w:basedOn w:val="a"/>
    <w:next w:val="a"/>
    <w:link w:val="10"/>
    <w:uiPriority w:val="9"/>
    <w:qFormat/>
    <w:rsid w:val="00BC19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C19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C19B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C19B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C19B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19B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19B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19B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19B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19B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19B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19B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19B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C19B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19B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19B8"/>
    <w:rPr>
      <w:rFonts w:eastAsiaTheme="majorEastAsia" w:cstheme="majorBidi"/>
      <w:color w:val="595959" w:themeColor="text1" w:themeTint="A6"/>
    </w:rPr>
  </w:style>
  <w:style w:type="character" w:customStyle="1" w:styleId="80">
    <w:name w:val="Заголовок 8 Знак"/>
    <w:basedOn w:val="a0"/>
    <w:link w:val="8"/>
    <w:uiPriority w:val="9"/>
    <w:semiHidden/>
    <w:rsid w:val="00BC19B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19B8"/>
    <w:rPr>
      <w:rFonts w:eastAsiaTheme="majorEastAsia" w:cstheme="majorBidi"/>
      <w:color w:val="272727" w:themeColor="text1" w:themeTint="D8"/>
    </w:rPr>
  </w:style>
  <w:style w:type="paragraph" w:styleId="a3">
    <w:name w:val="Title"/>
    <w:basedOn w:val="a"/>
    <w:next w:val="a"/>
    <w:link w:val="a4"/>
    <w:uiPriority w:val="10"/>
    <w:qFormat/>
    <w:rsid w:val="00BC19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C19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19B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C19B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C19B8"/>
    <w:pPr>
      <w:spacing w:before="160"/>
      <w:jc w:val="center"/>
    </w:pPr>
    <w:rPr>
      <w:i/>
      <w:iCs/>
      <w:color w:val="404040" w:themeColor="text1" w:themeTint="BF"/>
    </w:rPr>
  </w:style>
  <w:style w:type="character" w:customStyle="1" w:styleId="a8">
    <w:name w:val="Цитата Знак"/>
    <w:basedOn w:val="a0"/>
    <w:link w:val="a7"/>
    <w:uiPriority w:val="29"/>
    <w:rsid w:val="00BC19B8"/>
    <w:rPr>
      <w:i/>
      <w:iCs/>
      <w:color w:val="404040" w:themeColor="text1" w:themeTint="BF"/>
    </w:rPr>
  </w:style>
  <w:style w:type="paragraph" w:styleId="a9">
    <w:name w:val="List Paragraph"/>
    <w:basedOn w:val="a"/>
    <w:uiPriority w:val="34"/>
    <w:qFormat/>
    <w:rsid w:val="00BC19B8"/>
    <w:pPr>
      <w:ind w:left="720"/>
      <w:contextualSpacing/>
    </w:pPr>
  </w:style>
  <w:style w:type="character" w:styleId="aa">
    <w:name w:val="Intense Emphasis"/>
    <w:basedOn w:val="a0"/>
    <w:uiPriority w:val="21"/>
    <w:qFormat/>
    <w:rsid w:val="00BC19B8"/>
    <w:rPr>
      <w:i/>
      <w:iCs/>
      <w:color w:val="0F4761" w:themeColor="accent1" w:themeShade="BF"/>
    </w:rPr>
  </w:style>
  <w:style w:type="paragraph" w:styleId="ab">
    <w:name w:val="Intense Quote"/>
    <w:basedOn w:val="a"/>
    <w:next w:val="a"/>
    <w:link w:val="ac"/>
    <w:uiPriority w:val="30"/>
    <w:qFormat/>
    <w:rsid w:val="00BC19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C19B8"/>
    <w:rPr>
      <w:i/>
      <w:iCs/>
      <w:color w:val="0F4761" w:themeColor="accent1" w:themeShade="BF"/>
    </w:rPr>
  </w:style>
  <w:style w:type="character" w:styleId="ad">
    <w:name w:val="Intense Reference"/>
    <w:basedOn w:val="a0"/>
    <w:uiPriority w:val="32"/>
    <w:qFormat/>
    <w:rsid w:val="00BC19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8125</Words>
  <Characters>4632</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2026-10-05T14:47:00Z</dcterms:created>
  <dcterms:modified xsi:type="dcterms:W3CDTF">2026-10-05T14:47:00Z</dcterms:modified>
</cp:coreProperties>
</file>