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6BF437" w14:textId="155EEAC4" w:rsidR="00D33799" w:rsidRPr="00351232" w:rsidRDefault="004167C3" w:rsidP="00351232">
      <w:pPr>
        <w:pStyle w:val="11"/>
        <w:shd w:val="clear" w:color="auto" w:fill="auto"/>
        <w:spacing w:line="276" w:lineRule="auto"/>
        <w:jc w:val="left"/>
        <w:rPr>
          <w:bCs/>
          <w:sz w:val="28"/>
          <w:szCs w:val="28"/>
        </w:rPr>
      </w:pPr>
      <w:r w:rsidRPr="004167C3">
        <w:rPr>
          <w:bCs/>
          <w:sz w:val="28"/>
          <w:szCs w:val="28"/>
        </w:rPr>
        <w:t>УДК 614.8:636:115.01</w:t>
      </w:r>
    </w:p>
    <w:p w14:paraId="064A3EBC" w14:textId="77777777" w:rsidR="00351232" w:rsidRPr="00351232" w:rsidRDefault="00351232" w:rsidP="00351232">
      <w:pPr>
        <w:pStyle w:val="11"/>
        <w:shd w:val="clear" w:color="auto" w:fill="auto"/>
        <w:spacing w:line="276" w:lineRule="auto"/>
        <w:jc w:val="center"/>
        <w:rPr>
          <w:b/>
          <w:sz w:val="28"/>
          <w:szCs w:val="28"/>
        </w:rPr>
      </w:pPr>
    </w:p>
    <w:p w14:paraId="4F2635CB" w14:textId="3F18FAE5" w:rsidR="007B3169" w:rsidRDefault="004167C3" w:rsidP="00351232">
      <w:pPr>
        <w:pStyle w:val="a7"/>
        <w:spacing w:after="0" w:line="276" w:lineRule="auto"/>
        <w:ind w:left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  <w:r w:rsidRPr="004167C3">
        <w:rPr>
          <w:rFonts w:ascii="Times New Roman" w:hAnsi="Times New Roman" w:cs="Times New Roman"/>
          <w:b/>
          <w:caps/>
          <w:sz w:val="28"/>
          <w:szCs w:val="28"/>
        </w:rPr>
        <w:t>ВИРІШАЛЬНИЙ ЕТАП, МОНТАЖ ДОЇЛЬНОЇ УСТАНОВКИ В УМОВАХ ФЕРМЕРСЬКОГО ГОСПОДАРСТВА</w:t>
      </w:r>
    </w:p>
    <w:p w14:paraId="0BD7F27C" w14:textId="77777777" w:rsidR="00351232" w:rsidRPr="00351232" w:rsidRDefault="00351232" w:rsidP="00351232">
      <w:pPr>
        <w:pStyle w:val="a7"/>
        <w:spacing w:after="0" w:line="276" w:lineRule="auto"/>
        <w:ind w:left="0"/>
        <w:jc w:val="center"/>
        <w:rPr>
          <w:rFonts w:ascii="Times New Roman" w:hAnsi="Times New Roman" w:cs="Times New Roman"/>
          <w:b/>
          <w:caps/>
          <w:sz w:val="28"/>
          <w:szCs w:val="28"/>
        </w:rPr>
      </w:pPr>
    </w:p>
    <w:p w14:paraId="6D5F9036" w14:textId="3C5DE833" w:rsidR="00351232" w:rsidRDefault="007B3169" w:rsidP="00351232">
      <w:pPr>
        <w:spacing w:after="0" w:line="276" w:lineRule="auto"/>
        <w:jc w:val="center"/>
        <w:rPr>
          <w:rStyle w:val="a4"/>
          <w:rFonts w:ascii="Times New Roman" w:hAnsi="Times New Roman" w:cs="Times New Roman"/>
          <w:color w:val="auto"/>
          <w:sz w:val="28"/>
          <w:szCs w:val="28"/>
          <w:u w:val="none"/>
        </w:rPr>
      </w:pPr>
      <w:proofErr w:type="spellStart"/>
      <w:r w:rsidRPr="00351232">
        <w:rPr>
          <w:rFonts w:ascii="Times New Roman" w:eastAsia="Times New Roman" w:hAnsi="Times New Roman" w:cs="Times New Roman"/>
          <w:b/>
          <w:sz w:val="28"/>
          <w:szCs w:val="28"/>
        </w:rPr>
        <w:t>Заболотько</w:t>
      </w:r>
      <w:proofErr w:type="spellEnd"/>
      <w:r w:rsidR="00351232" w:rsidRPr="00351232">
        <w:rPr>
          <w:rFonts w:ascii="Times New Roman" w:eastAsia="Times New Roman" w:hAnsi="Times New Roman" w:cs="Times New Roman"/>
          <w:b/>
          <w:sz w:val="28"/>
          <w:szCs w:val="28"/>
        </w:rPr>
        <w:t xml:space="preserve"> О.О.</w:t>
      </w:r>
      <w:r w:rsidR="00351232">
        <w:rPr>
          <w:rFonts w:ascii="Times New Roman" w:eastAsia="Times New Roman" w:hAnsi="Times New Roman" w:cs="Times New Roman"/>
          <w:b/>
          <w:sz w:val="28"/>
          <w:szCs w:val="28"/>
        </w:rPr>
        <w:t xml:space="preserve">, </w:t>
      </w:r>
      <w:r w:rsidRPr="004A0BA3">
        <w:rPr>
          <w:rFonts w:ascii="Times New Roman" w:hAnsi="Times New Roman" w:cs="Times New Roman"/>
          <w:sz w:val="28"/>
          <w:szCs w:val="28"/>
          <w:vertAlign w:val="superscript"/>
        </w:rPr>
        <w:t xml:space="preserve"> </w:t>
      </w:r>
      <w:proofErr w:type="spellStart"/>
      <w:r w:rsidRPr="004A0BA3">
        <w:rPr>
          <w:rFonts w:ascii="Times New Roman" w:hAnsi="Times New Roman" w:cs="Times New Roman"/>
          <w:sz w:val="28"/>
          <w:szCs w:val="28"/>
        </w:rPr>
        <w:t>к.т</w:t>
      </w:r>
      <w:r w:rsidR="00351232">
        <w:rPr>
          <w:rFonts w:ascii="Times New Roman" w:hAnsi="Times New Roman" w:cs="Times New Roman"/>
          <w:sz w:val="28"/>
          <w:szCs w:val="28"/>
        </w:rPr>
        <w:t>.н</w:t>
      </w:r>
      <w:proofErr w:type="spellEnd"/>
      <w:r w:rsidRPr="004A0BA3">
        <w:rPr>
          <w:rFonts w:ascii="Times New Roman" w:hAnsi="Times New Roman" w:cs="Times New Roman"/>
          <w:sz w:val="28"/>
          <w:szCs w:val="28"/>
        </w:rPr>
        <w:t xml:space="preserve">., доцент, </w:t>
      </w:r>
      <w:hyperlink r:id="rId6" w:history="1">
        <w:r w:rsidR="00351232" w:rsidRPr="005C623F">
          <w:rPr>
            <w:rStyle w:val="a4"/>
            <w:rFonts w:ascii="Times New Roman" w:hAnsi="Times New Roman" w:cs="Times New Roman"/>
            <w:color w:val="auto"/>
            <w:sz w:val="28"/>
            <w:szCs w:val="28"/>
            <w:u w:val="none"/>
          </w:rPr>
          <w:t>zabolotko@nubip.edu.ua</w:t>
        </w:r>
      </w:hyperlink>
    </w:p>
    <w:p w14:paraId="79A1D187" w14:textId="40E322DA" w:rsidR="004167C3" w:rsidRPr="004167C3" w:rsidRDefault="004167C3" w:rsidP="00351232">
      <w:pPr>
        <w:spacing w:after="0" w:line="276" w:lineRule="auto"/>
        <w:jc w:val="center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Потапова</w:t>
      </w:r>
      <w:r>
        <w:rPr>
          <w:rFonts w:ascii="Times New Roman" w:eastAsia="Times New Roman" w:hAnsi="Times New Roman" w:cs="Times New Roman"/>
          <w:b/>
          <w:sz w:val="28"/>
          <w:szCs w:val="28"/>
          <w:lang w:val="en-US"/>
        </w:rPr>
        <w:t xml:space="preserve"> C.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Є.,</w:t>
      </w: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proofErr w:type="spellStart"/>
      <w:r w:rsidRPr="004A0BA3">
        <w:rPr>
          <w:rFonts w:ascii="Times New Roman" w:hAnsi="Times New Roman" w:cs="Times New Roman"/>
          <w:sz w:val="28"/>
          <w:szCs w:val="28"/>
        </w:rPr>
        <w:t>к.т</w:t>
      </w:r>
      <w:r>
        <w:rPr>
          <w:rFonts w:ascii="Times New Roman" w:hAnsi="Times New Roman" w:cs="Times New Roman"/>
          <w:sz w:val="28"/>
          <w:szCs w:val="28"/>
        </w:rPr>
        <w:t>.н</w:t>
      </w:r>
      <w:proofErr w:type="spellEnd"/>
      <w:r w:rsidRPr="004A0BA3">
        <w:rPr>
          <w:rFonts w:ascii="Times New Roman" w:hAnsi="Times New Roman" w:cs="Times New Roman"/>
          <w:sz w:val="28"/>
          <w:szCs w:val="28"/>
        </w:rPr>
        <w:t xml:space="preserve">., доцент, </w:t>
      </w:r>
      <w:proofErr w:type="spellStart"/>
      <w:r w:rsidRPr="004167C3">
        <w:rPr>
          <w:rFonts w:ascii="Times New Roman" w:hAnsi="Times New Roman" w:cs="Times New Roman"/>
          <w:sz w:val="28"/>
          <w:szCs w:val="28"/>
          <w:lang w:val="en-US"/>
        </w:rPr>
        <w:t>potapova</w:t>
      </w:r>
      <w:proofErr w:type="spellEnd"/>
      <w:r w:rsidRPr="004167C3">
        <w:rPr>
          <w:rFonts w:ascii="Times New Roman" w:hAnsi="Times New Roman" w:cs="Times New Roman"/>
          <w:sz w:val="28"/>
          <w:szCs w:val="28"/>
        </w:rPr>
        <w:t>@nubip.edu.ua</w:t>
      </w:r>
    </w:p>
    <w:p w14:paraId="19983E82" w14:textId="0B4CEA51" w:rsidR="007B3169" w:rsidRPr="009007E0" w:rsidRDefault="007B3169" w:rsidP="00351232">
      <w:pPr>
        <w:spacing w:after="0" w:line="276" w:lineRule="auto"/>
        <w:jc w:val="center"/>
        <w:rPr>
          <w:rFonts w:ascii="Times New Roman" w:hAnsi="Times New Roman" w:cs="Times New Roman"/>
          <w:i/>
          <w:iCs/>
          <w:sz w:val="28"/>
          <w:szCs w:val="28"/>
        </w:rPr>
      </w:pPr>
      <w:r w:rsidRPr="009007E0">
        <w:rPr>
          <w:rFonts w:ascii="Times New Roman" w:hAnsi="Times New Roman" w:cs="Times New Roman"/>
          <w:i/>
          <w:iCs/>
          <w:sz w:val="28"/>
          <w:szCs w:val="28"/>
        </w:rPr>
        <w:t>Національний університет біоресурсів і природокористування України</w:t>
      </w:r>
    </w:p>
    <w:p w14:paraId="003CC990" w14:textId="77777777" w:rsidR="007B3169" w:rsidRPr="004A0BA3" w:rsidRDefault="007B3169" w:rsidP="004167C3">
      <w:pPr>
        <w:spacing w:after="0" w:line="276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19AC9588" w14:textId="49449994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b/>
          <w:sz w:val="28"/>
          <w:szCs w:val="28"/>
        </w:rPr>
        <w:t xml:space="preserve">Постановка проблеми: </w:t>
      </w: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Нині у молочному скотарстві для фермерів використовують основних типи доїльних залів: «тандем», «ялинка», «паралель» та автоматизовані системи - доїльний робот. Вибір типу та розміру доїльного залу потребує доволі серйозного підходу, його слід підбирати індивідуально під кожне господарство. Основними критеріями вибору розміру доїльного залу є пропускна здатність. Поголів’я корів до 500 голів пропонуються доїльні установки типу «Ялинка», до 1000 голів «Паралель» для більшого </w:t>
      </w:r>
      <w:r w:rsidRPr="004167C3">
        <w:rPr>
          <w:rFonts w:ascii="Times New Roman" w:eastAsia="Calibri" w:hAnsi="Times New Roman" w:cs="Times New Roman"/>
          <w:sz w:val="28"/>
          <w:szCs w:val="28"/>
        </w:rPr>
        <w:t>поголів’я</w:t>
      </w: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 доїльні установки типу «Карусель» [1], система та спосіб утримання, місце розташування та будівлі і споруди для узгодження технологічного процесу.</w:t>
      </w:r>
    </w:p>
    <w:p w14:paraId="0CF14732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b/>
          <w:sz w:val="28"/>
          <w:szCs w:val="28"/>
        </w:rPr>
        <w:t>Аналіз останніх досліджень та публікацій:</w:t>
      </w: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 Технологія безприв'язного утримання та доїння у доїльних залах максимально відповідає фізіології корів, дозволяє покращити не тільки виробничі характеристики дійного стада і як найкраще оптимізувати роботу обслуговуючого персоналу. Втім, як показує практика, безприв'язне утримання худоби  вимагає нові будівельні рішення, особливо це стосується об’єктів які йдуть під реконструкцію. Якщо, реконструкція передбачає витрати 60-70% від будівництво нового, то краще зразу розглядати питання будівництво нової ферми з врахуванням сучасних стандартів та машин і обладнання. Один з завершальних етапів – це вибір доїльного залу та його монтаж.</w:t>
      </w:r>
    </w:p>
    <w:p w14:paraId="1F44F2E7" w14:textId="77777777" w:rsidR="004167C3" w:rsidRPr="004167C3" w:rsidRDefault="004167C3" w:rsidP="004167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b/>
          <w:sz w:val="28"/>
          <w:szCs w:val="28"/>
        </w:rPr>
        <w:t xml:space="preserve">Мета дослідження: </w:t>
      </w:r>
      <w:r w:rsidRPr="004167C3">
        <w:rPr>
          <w:rFonts w:ascii="Times New Roman" w:eastAsia="Calibri" w:hAnsi="Times New Roman" w:cs="Times New Roman"/>
          <w:sz w:val="28"/>
          <w:szCs w:val="28"/>
        </w:rPr>
        <w:t>розглянути перелік робіт на підготовчому етапі при виконанні монтажних робіт в умовах тваринницької ферми для фермерського господарства.</w:t>
      </w:r>
    </w:p>
    <w:p w14:paraId="33274210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b/>
          <w:sz w:val="28"/>
          <w:szCs w:val="28"/>
        </w:rPr>
        <w:t xml:space="preserve">Виклад основного матеріалу: </w:t>
      </w:r>
      <w:r w:rsidRPr="004167C3">
        <w:rPr>
          <w:rFonts w:ascii="Times New Roman" w:eastAsia="Calibri" w:hAnsi="Times New Roman" w:cs="Times New Roman"/>
          <w:sz w:val="28"/>
          <w:szCs w:val="28"/>
        </w:rPr>
        <w:t>Правильний вибір способу та методу монтажу дозволяє значно скоротити строки введення об’єктів у експлуатацію, підвищує якість виконання робіт і забезпечує економію трудових та матеріальних ресурсів. Весь цикл проведення монтажних робіт включає в себе етапи: підготовка до монтажу, власне монтаж та підготовка обладнання до експлуатації.</w:t>
      </w:r>
    </w:p>
    <w:p w14:paraId="041E37DB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Вирішальним етапом є підготовка до монтажу. Він складається з організаційних заходів і підготовчих робіт. Спочатку ознайомлюються з </w:t>
      </w:r>
      <w:r w:rsidRPr="004167C3">
        <w:rPr>
          <w:rFonts w:ascii="Times New Roman" w:eastAsia="Calibri" w:hAnsi="Times New Roman" w:cs="Times New Roman"/>
          <w:sz w:val="28"/>
          <w:szCs w:val="28"/>
        </w:rPr>
        <w:lastRenderedPageBreak/>
        <w:t xml:space="preserve">проектом або технологічним завданням на механізацію технологічного процесу (доїння корів у доїльному залі). Уточнюють можливості реалізації даного проекту, стан будівельних споруд і їх підготовка до монтажу обладнання до технічних вимог вказаного обладнання. В разі необхідності вносять відповідні зміни до проекту, будівельних конструкцій, особливостей технологічних груп тварин, складають монтажні схеми, оформляють замовлення на виготовлення монтажних заготовок, розробляють план складання машин і обладнання на об’єкті, ознайомлюються і вивчають технічну документацію, уточнюють строки здавання об’єкта. Вирішуються питання упорядкування монтажного майданчика, обладнання місць зберігання матеріалів, інструменту, робочої одежі, а також приміщення для відпочинку робітників. Для кожного виду обладнання умови поставки визначені технічними умовами. Разом з обладнанням завод-виробник, постачальник, дилер поставляє документацію: вимоги до будівельних конструкцій, технічний опис, інструкції з експлуатації, технічного обслуговування, монтажу, пуску, регулювання та обкатки. </w:t>
      </w:r>
    </w:p>
    <w:p w14:paraId="16519072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На прикладі фермерського господарства для обслуговування 100 голів дійного стада було складено технологічне завдання за безприв’язним утриманням, яке передбачало доїння корів у доїльному залі типу «ялинка» 2х4. Час одноразового доїння складає орієнтовно 3,5 год. та обслуговування двома операторами за змінним графіком роботи.</w:t>
      </w:r>
    </w:p>
    <w:p w14:paraId="521F2E9E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Об’єкт мав нове будівництво. Використано сучасні технології за безприв’язним утриманням. Поділення тварин за технологічними групами та поетапне виконання запроектованих робіт з будівництва і встановлення обладнання. Початок виконання робіт березень 2025 року і завершення в січні 2026 року.</w:t>
      </w:r>
    </w:p>
    <w:p w14:paraId="114C4F00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На жовтень місяць маємо повне поголів’я тварин, отелення плановий період кінець січня – березень 2026 року. На перехідному етапі доїння корів проходить за допомогою мобільних доїльних установок в паралельно прохідних станках. </w:t>
      </w:r>
    </w:p>
    <w:p w14:paraId="377F602F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На етапі виконання будівельних робіт після ознайомлення з технічною документацією на монтаж доїльного залу власник зробив зміни з розташуванні та розмірів будівельних несучих елементів майбутнього залу без погодження. Останнє, ускладнило роботу з монтажу обладнання, вимагало додаткові металоконструкції та їх зміцнення і забезпечення надійності конструкцій доїльного залу. На малюнку 1 та 2 подана загальний вид доїльної установки та монтажна схема обладнання.</w:t>
      </w:r>
    </w:p>
    <w:p w14:paraId="2C99B2DB" w14:textId="77777777" w:rsidR="004167C3" w:rsidRPr="004167C3" w:rsidRDefault="004167C3" w:rsidP="004167C3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lastRenderedPageBreak/>
        <w:drawing>
          <wp:inline distT="0" distB="0" distL="0" distR="0" wp14:anchorId="56CB6D27" wp14:editId="552751F9">
            <wp:extent cx="5629275" cy="2495550"/>
            <wp:effectExtent l="0" t="0" r="9525" b="0"/>
            <wp:docPr id="11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9275" cy="2495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F6F55D9" w14:textId="77777777" w:rsidR="004167C3" w:rsidRPr="004167C3" w:rsidRDefault="004167C3" w:rsidP="004167C3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Рисунок 1 – Загальний вид доїльного залу</w:t>
      </w:r>
    </w:p>
    <w:p w14:paraId="0D3D3AF4" w14:textId="77777777" w:rsidR="004167C3" w:rsidRPr="004167C3" w:rsidRDefault="004167C3" w:rsidP="004167C3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noProof/>
          <w:sz w:val="28"/>
          <w:szCs w:val="28"/>
          <w:lang w:val="ru-RU" w:eastAsia="ru-RU"/>
        </w:rPr>
        <w:drawing>
          <wp:inline distT="0" distB="0" distL="0" distR="0" wp14:anchorId="6080B15F" wp14:editId="44216347">
            <wp:extent cx="5448300" cy="3638550"/>
            <wp:effectExtent l="0" t="0" r="0" b="0"/>
            <wp:docPr id="1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48300" cy="3638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0B634F" w14:textId="0E583EA7" w:rsidR="004167C3" w:rsidRDefault="004167C3" w:rsidP="004167C3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Рисунок 2 – Монтажна схема доїльного залу</w:t>
      </w:r>
    </w:p>
    <w:p w14:paraId="6A684024" w14:textId="77777777" w:rsidR="004167C3" w:rsidRPr="004167C3" w:rsidRDefault="004167C3" w:rsidP="004167C3">
      <w:pPr>
        <w:spacing w:after="0" w:line="276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14:paraId="2CED77CF" w14:textId="77777777" w:rsidR="004167C3" w:rsidRPr="004167C3" w:rsidRDefault="004167C3" w:rsidP="004167C3">
      <w:pPr>
        <w:spacing w:after="0" w:line="276" w:lineRule="auto"/>
        <w:ind w:firstLine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Отже, за пропускною спроможністю доїльні установки мають наступні показники: </w:t>
      </w:r>
      <w:r w:rsidRPr="004167C3">
        <w:rPr>
          <w:rFonts w:ascii="Times New Roman" w:eastAsia="Calibri" w:hAnsi="Times New Roman" w:cs="Times New Roman"/>
          <w:i/>
          <w:sz w:val="28"/>
          <w:szCs w:val="28"/>
        </w:rPr>
        <w:t>«карусель»</w:t>
      </w: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 - в середньому 5,5 гол./год. на </w:t>
      </w:r>
      <w:proofErr w:type="spellStart"/>
      <w:r w:rsidRPr="004167C3">
        <w:rPr>
          <w:rFonts w:ascii="Times New Roman" w:eastAsia="Calibri" w:hAnsi="Times New Roman" w:cs="Times New Roman"/>
          <w:sz w:val="28"/>
          <w:szCs w:val="28"/>
        </w:rPr>
        <w:t>скотомісце</w:t>
      </w:r>
      <w:proofErr w:type="spellEnd"/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4167C3">
        <w:rPr>
          <w:rFonts w:ascii="Times New Roman" w:eastAsia="Calibri" w:hAnsi="Times New Roman" w:cs="Times New Roman"/>
          <w:i/>
          <w:iCs/>
          <w:sz w:val="28"/>
          <w:szCs w:val="28"/>
        </w:rPr>
        <w:t xml:space="preserve">(у «ялинки» — 4 гол./год., а у «паралелі» — 4,5 гол./год). </w:t>
      </w:r>
      <w:r w:rsidRPr="004167C3">
        <w:rPr>
          <w:rFonts w:ascii="Times New Roman" w:eastAsia="Calibri" w:hAnsi="Times New Roman" w:cs="Times New Roman"/>
          <w:iCs/>
          <w:sz w:val="28"/>
          <w:szCs w:val="28"/>
        </w:rPr>
        <w:t>Для даного фермерського господарства, доїльна установка типу «ялинка» забезпечить обслуговування 100 голів корів за 3,1 години.</w:t>
      </w:r>
    </w:p>
    <w:p w14:paraId="005F8FE9" w14:textId="77777777" w:rsidR="004167C3" w:rsidRDefault="004167C3" w:rsidP="004167C3">
      <w:pPr>
        <w:spacing w:after="0" w:line="276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b/>
          <w:sz w:val="28"/>
          <w:szCs w:val="28"/>
        </w:rPr>
        <w:t>Висновки:</w:t>
      </w:r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 вирішальним етапом в якісному виконанні монтажних робіт є дотримання технічних умов на виконання монтажних робіт обладнання. Зміни будівельних умов можуть суттєво вплинути на технологічний процес роботи лінії. На етапі уточнення технологічного завдання, всі сторони угоди повинні в письмовому вигляді затвердити всі зміни проекту. Невеликі фермерського </w:t>
      </w:r>
      <w:r w:rsidRPr="004167C3">
        <w:rPr>
          <w:rFonts w:ascii="Times New Roman" w:eastAsia="Calibri" w:hAnsi="Times New Roman" w:cs="Times New Roman"/>
          <w:sz w:val="28"/>
          <w:szCs w:val="28"/>
        </w:rPr>
        <w:lastRenderedPageBreak/>
        <w:t>господарства, за відсутністю власних фахівців, повинні звертатися в дорадчі служби, асоціації виробників продукції та ін. для реалізації сучасних технологій у технологічному процесі.</w:t>
      </w:r>
    </w:p>
    <w:p w14:paraId="3D48FC48" w14:textId="76D26452" w:rsidR="004167C3" w:rsidRPr="004167C3" w:rsidRDefault="004167C3" w:rsidP="004167C3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4167C3">
        <w:rPr>
          <w:rFonts w:ascii="Times New Roman" w:eastAsia="Calibri" w:hAnsi="Times New Roman" w:cs="Times New Roman"/>
          <w:b/>
          <w:sz w:val="28"/>
          <w:szCs w:val="28"/>
        </w:rPr>
        <w:t>Список використаних джерел</w:t>
      </w:r>
    </w:p>
    <w:p w14:paraId="7A04736B" w14:textId="77777777" w:rsidR="004167C3" w:rsidRPr="004167C3" w:rsidRDefault="004167C3" w:rsidP="004167C3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ru-RU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Доїльне обладнання на сучасний лад: сім раз відміряй</w:t>
      </w:r>
      <w:r w:rsidRPr="004167C3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— один раз купи!</w:t>
      </w:r>
    </w:p>
    <w:p w14:paraId="17CCBA6C" w14:textId="77777777" w:rsidR="004167C3" w:rsidRPr="004167C3" w:rsidRDefault="004167C3" w:rsidP="004167C3">
      <w:pPr>
        <w:spacing w:after="0" w:line="276" w:lineRule="auto"/>
        <w:ind w:left="720"/>
        <w:jc w:val="both"/>
        <w:rPr>
          <w:rFonts w:ascii="Times New Roman" w:eastAsia="Calibri" w:hAnsi="Times New Roman" w:cs="Times New Roman"/>
          <w:sz w:val="28"/>
          <w:szCs w:val="28"/>
        </w:rPr>
      </w:pPr>
      <w:hyperlink r:id="rId9" w:history="1">
        <w:r w:rsidRPr="004167C3">
          <w:rPr>
            <w:rFonts w:ascii="Times New Roman" w:eastAsia="Calibri" w:hAnsi="Times New Roman" w:cs="Times New Roman"/>
            <w:sz w:val="28"/>
            <w:szCs w:val="28"/>
          </w:rPr>
          <w:t>https://agrosystem.com.ua/doilne-obladnannya-na-suchasnijj-lad-sim-raz-vidmiryajj-odin-raz-kupi/</w:t>
        </w:r>
      </w:hyperlink>
      <w:r w:rsidRPr="004167C3">
        <w:rPr>
          <w:rFonts w:ascii="Times New Roman" w:eastAsia="Calibri" w:hAnsi="Times New Roman" w:cs="Times New Roman"/>
          <w:sz w:val="28"/>
          <w:szCs w:val="28"/>
        </w:rPr>
        <w:t xml:space="preserve">. </w:t>
      </w:r>
    </w:p>
    <w:p w14:paraId="2418801A" w14:textId="77777777" w:rsidR="004167C3" w:rsidRPr="004167C3" w:rsidRDefault="004167C3" w:rsidP="004167C3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Молочна ферма: реконструювати чи будувати? [</w:t>
      </w:r>
      <w:proofErr w:type="spellStart"/>
      <w:r w:rsidRPr="004167C3">
        <w:rPr>
          <w:rFonts w:ascii="Times New Roman" w:eastAsia="Calibri" w:hAnsi="Times New Roman" w:cs="Times New Roman"/>
          <w:sz w:val="28"/>
          <w:szCs w:val="28"/>
        </w:rPr>
        <w:t>Электрон</w:t>
      </w:r>
      <w:proofErr w:type="spellEnd"/>
      <w:r w:rsidRPr="004167C3">
        <w:rPr>
          <w:rFonts w:ascii="Times New Roman" w:eastAsia="Calibri" w:hAnsi="Times New Roman" w:cs="Times New Roman"/>
          <w:sz w:val="28"/>
          <w:szCs w:val="28"/>
        </w:rPr>
        <w:t>. ресурс]. – Режим доступу: https://gsel.com.ua/info/attach.php?id=559</w:t>
      </w:r>
    </w:p>
    <w:p w14:paraId="5AF72821" w14:textId="77777777" w:rsidR="004167C3" w:rsidRPr="004167C3" w:rsidRDefault="004167C3" w:rsidP="004167C3">
      <w:pPr>
        <w:numPr>
          <w:ilvl w:val="0"/>
          <w:numId w:val="10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4167C3">
        <w:rPr>
          <w:rFonts w:ascii="Times New Roman" w:eastAsia="Calibri" w:hAnsi="Times New Roman" w:cs="Times New Roman"/>
          <w:sz w:val="28"/>
          <w:szCs w:val="28"/>
        </w:rPr>
        <w:t>ДСТУ 3662:2018 Молоко-сировина коров`яче. Технічні умови [</w:t>
      </w:r>
      <w:proofErr w:type="spellStart"/>
      <w:r w:rsidRPr="004167C3">
        <w:rPr>
          <w:rFonts w:ascii="Times New Roman" w:eastAsia="Calibri" w:hAnsi="Times New Roman" w:cs="Times New Roman"/>
          <w:sz w:val="28"/>
          <w:szCs w:val="28"/>
        </w:rPr>
        <w:t>Электрон</w:t>
      </w:r>
      <w:proofErr w:type="spellEnd"/>
      <w:r w:rsidRPr="004167C3">
        <w:rPr>
          <w:rFonts w:ascii="Times New Roman" w:eastAsia="Calibri" w:hAnsi="Times New Roman" w:cs="Times New Roman"/>
          <w:sz w:val="28"/>
          <w:szCs w:val="28"/>
        </w:rPr>
        <w:t>. ресурс]. – Режим доступу: https://online.budstandart.com/ua/catalog/doc-page.html?id_doc=77350.</w:t>
      </w:r>
    </w:p>
    <w:p w14:paraId="01C6B32F" w14:textId="77777777" w:rsidR="00A836B4" w:rsidRPr="00A8128E" w:rsidRDefault="00A836B4" w:rsidP="004167C3">
      <w:pPr>
        <w:pStyle w:val="a7"/>
        <w:spacing w:after="0" w:line="276" w:lineRule="auto"/>
        <w:ind w:left="0" w:firstLine="709"/>
        <w:jc w:val="both"/>
        <w:rPr>
          <w:rFonts w:ascii="Times New Roman" w:hAnsi="Times New Roman" w:cs="Times New Roman"/>
          <w:iCs/>
          <w:sz w:val="28"/>
          <w:szCs w:val="28"/>
        </w:rPr>
      </w:pPr>
    </w:p>
    <w:sectPr w:rsidR="00A836B4" w:rsidRPr="00A8128E" w:rsidSect="00ED68FB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EA4885"/>
    <w:multiLevelType w:val="hybridMultilevel"/>
    <w:tmpl w:val="A6A6C3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F0D0F"/>
    <w:multiLevelType w:val="multilevel"/>
    <w:tmpl w:val="5CD24D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4503B98"/>
    <w:multiLevelType w:val="hybridMultilevel"/>
    <w:tmpl w:val="D770611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47408F"/>
    <w:multiLevelType w:val="multilevel"/>
    <w:tmpl w:val="ED06AA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32B16E0E"/>
    <w:multiLevelType w:val="hybridMultilevel"/>
    <w:tmpl w:val="C5D03A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4CD2DF3"/>
    <w:multiLevelType w:val="multilevel"/>
    <w:tmpl w:val="DC044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50434F51"/>
    <w:multiLevelType w:val="hybridMultilevel"/>
    <w:tmpl w:val="A8D22470"/>
    <w:lvl w:ilvl="0" w:tplc="38103C24">
      <w:start w:val="2"/>
      <w:numFmt w:val="bullet"/>
      <w:lvlText w:val="-"/>
      <w:lvlJc w:val="left"/>
      <w:pPr>
        <w:ind w:left="927" w:hanging="360"/>
      </w:pPr>
      <w:rPr>
        <w:rFonts w:ascii="Times New Roman" w:eastAsia="Times New Roman" w:hAnsi="Times New Roman" w:cs="Times New Roman" w:hint="default"/>
        <w:sz w:val="28"/>
      </w:rPr>
    </w:lvl>
    <w:lvl w:ilvl="1" w:tplc="0422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7" w15:restartNumberingAfterBreak="0">
    <w:nsid w:val="515E4108"/>
    <w:multiLevelType w:val="multilevel"/>
    <w:tmpl w:val="1146F9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6FF26067"/>
    <w:multiLevelType w:val="multilevel"/>
    <w:tmpl w:val="324E2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7607157"/>
    <w:multiLevelType w:val="hybridMultilevel"/>
    <w:tmpl w:val="4358156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9"/>
  </w:num>
  <w:num w:numId="7">
    <w:abstractNumId w:val="8"/>
  </w:num>
  <w:num w:numId="8">
    <w:abstractNumId w:val="1"/>
  </w:num>
  <w:num w:numId="9">
    <w:abstractNumId w:val="3"/>
  </w:num>
  <w:num w:numId="1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150CA"/>
    <w:rsid w:val="000132D5"/>
    <w:rsid w:val="0004651E"/>
    <w:rsid w:val="00091085"/>
    <w:rsid w:val="000939C6"/>
    <w:rsid w:val="00150F70"/>
    <w:rsid w:val="0016196B"/>
    <w:rsid w:val="001D078C"/>
    <w:rsid w:val="001D37F2"/>
    <w:rsid w:val="0021092D"/>
    <w:rsid w:val="00222CD8"/>
    <w:rsid w:val="00240E59"/>
    <w:rsid w:val="002C3C56"/>
    <w:rsid w:val="00347AA8"/>
    <w:rsid w:val="00351232"/>
    <w:rsid w:val="00365D4B"/>
    <w:rsid w:val="003D5CD3"/>
    <w:rsid w:val="00406BBF"/>
    <w:rsid w:val="004167C3"/>
    <w:rsid w:val="004214D0"/>
    <w:rsid w:val="00455928"/>
    <w:rsid w:val="004811EB"/>
    <w:rsid w:val="004A0BA3"/>
    <w:rsid w:val="004A7A07"/>
    <w:rsid w:val="004C14B7"/>
    <w:rsid w:val="004E7F51"/>
    <w:rsid w:val="004F15C3"/>
    <w:rsid w:val="0053082F"/>
    <w:rsid w:val="00581B9D"/>
    <w:rsid w:val="00592605"/>
    <w:rsid w:val="005C623F"/>
    <w:rsid w:val="006147D2"/>
    <w:rsid w:val="00642B17"/>
    <w:rsid w:val="006467C2"/>
    <w:rsid w:val="00666594"/>
    <w:rsid w:val="00671D17"/>
    <w:rsid w:val="006A4A71"/>
    <w:rsid w:val="006B3A1B"/>
    <w:rsid w:val="006B7265"/>
    <w:rsid w:val="0070063F"/>
    <w:rsid w:val="0071053E"/>
    <w:rsid w:val="007B3169"/>
    <w:rsid w:val="007D31DC"/>
    <w:rsid w:val="00812C99"/>
    <w:rsid w:val="00817B7B"/>
    <w:rsid w:val="00827A57"/>
    <w:rsid w:val="008B4259"/>
    <w:rsid w:val="009007E0"/>
    <w:rsid w:val="009150CA"/>
    <w:rsid w:val="00915B72"/>
    <w:rsid w:val="009531F9"/>
    <w:rsid w:val="00980DB4"/>
    <w:rsid w:val="00985769"/>
    <w:rsid w:val="009920C4"/>
    <w:rsid w:val="00A4194D"/>
    <w:rsid w:val="00A8128E"/>
    <w:rsid w:val="00A836B4"/>
    <w:rsid w:val="00A90FBC"/>
    <w:rsid w:val="00AC732B"/>
    <w:rsid w:val="00AD4092"/>
    <w:rsid w:val="00AE1798"/>
    <w:rsid w:val="00B116C1"/>
    <w:rsid w:val="00B121DB"/>
    <w:rsid w:val="00B24354"/>
    <w:rsid w:val="00B249EF"/>
    <w:rsid w:val="00B81D8D"/>
    <w:rsid w:val="00BE2A1B"/>
    <w:rsid w:val="00C14675"/>
    <w:rsid w:val="00C83C60"/>
    <w:rsid w:val="00CE5D03"/>
    <w:rsid w:val="00D256CB"/>
    <w:rsid w:val="00D33799"/>
    <w:rsid w:val="00D74A6D"/>
    <w:rsid w:val="00DA1449"/>
    <w:rsid w:val="00DF22DD"/>
    <w:rsid w:val="00E0560D"/>
    <w:rsid w:val="00E33A0B"/>
    <w:rsid w:val="00E3702E"/>
    <w:rsid w:val="00E40CC7"/>
    <w:rsid w:val="00E47488"/>
    <w:rsid w:val="00E60AEA"/>
    <w:rsid w:val="00E777D7"/>
    <w:rsid w:val="00ED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46597F"/>
  <w15:chartTrackingRefBased/>
  <w15:docId w15:val="{B7DBF44B-FE7C-4E85-8414-B493605647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65D4B"/>
  </w:style>
  <w:style w:type="paragraph" w:styleId="1">
    <w:name w:val="heading 1"/>
    <w:basedOn w:val="a"/>
    <w:link w:val="10"/>
    <w:uiPriority w:val="9"/>
    <w:qFormat/>
    <w:rsid w:val="00347AA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196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11"/>
    <w:rsid w:val="00AC732B"/>
    <w:rPr>
      <w:rFonts w:ascii="Times New Roman" w:eastAsia="Times New Roman" w:hAnsi="Times New Roman" w:cs="Times New Roman"/>
      <w:spacing w:val="3"/>
      <w:sz w:val="21"/>
      <w:szCs w:val="21"/>
      <w:shd w:val="clear" w:color="auto" w:fill="FFFFFF"/>
    </w:rPr>
  </w:style>
  <w:style w:type="paragraph" w:customStyle="1" w:styleId="11">
    <w:name w:val="Основной текст1"/>
    <w:basedOn w:val="a"/>
    <w:link w:val="a3"/>
    <w:rsid w:val="00AC732B"/>
    <w:pPr>
      <w:widowControl w:val="0"/>
      <w:shd w:val="clear" w:color="auto" w:fill="FFFFFF"/>
      <w:spacing w:after="0" w:line="322" w:lineRule="exact"/>
      <w:jc w:val="both"/>
    </w:pPr>
    <w:rPr>
      <w:rFonts w:ascii="Times New Roman" w:eastAsia="Times New Roman" w:hAnsi="Times New Roman" w:cs="Times New Roman"/>
      <w:spacing w:val="3"/>
      <w:sz w:val="21"/>
      <w:szCs w:val="21"/>
    </w:rPr>
  </w:style>
  <w:style w:type="character" w:styleId="a4">
    <w:name w:val="Hyperlink"/>
    <w:rsid w:val="00AC732B"/>
    <w:rPr>
      <w:color w:val="0066CC"/>
      <w:u w:val="single"/>
    </w:rPr>
  </w:style>
  <w:style w:type="paragraph" w:styleId="a5">
    <w:name w:val="Normal (Web)"/>
    <w:basedOn w:val="a"/>
    <w:uiPriority w:val="99"/>
    <w:unhideWhenUsed/>
    <w:rsid w:val="001D07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uk-UA"/>
    </w:rPr>
  </w:style>
  <w:style w:type="character" w:styleId="a6">
    <w:name w:val="Strong"/>
    <w:basedOn w:val="a0"/>
    <w:uiPriority w:val="22"/>
    <w:qFormat/>
    <w:rsid w:val="001D078C"/>
    <w:rPr>
      <w:b/>
      <w:bCs/>
    </w:rPr>
  </w:style>
  <w:style w:type="paragraph" w:styleId="a7">
    <w:name w:val="List Paragraph"/>
    <w:basedOn w:val="a"/>
    <w:uiPriority w:val="34"/>
    <w:qFormat/>
    <w:rsid w:val="00222CD8"/>
    <w:pPr>
      <w:ind w:left="720"/>
      <w:contextualSpacing/>
    </w:pPr>
  </w:style>
  <w:style w:type="character" w:customStyle="1" w:styleId="12">
    <w:name w:val="Незакрита згадка1"/>
    <w:basedOn w:val="a0"/>
    <w:uiPriority w:val="99"/>
    <w:semiHidden/>
    <w:unhideWhenUsed/>
    <w:rsid w:val="00222CD8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347AA8"/>
    <w:rPr>
      <w:rFonts w:ascii="Times New Roman" w:eastAsia="Times New Roman" w:hAnsi="Times New Roman" w:cs="Times New Roman"/>
      <w:b/>
      <w:bCs/>
      <w:kern w:val="36"/>
      <w:sz w:val="48"/>
      <w:szCs w:val="48"/>
      <w:lang w:val="ru-RU"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16196B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21">
    <w:name w:val="Незакрита згадка2"/>
    <w:basedOn w:val="a0"/>
    <w:uiPriority w:val="99"/>
    <w:semiHidden/>
    <w:unhideWhenUsed/>
    <w:rsid w:val="006467C2"/>
    <w:rPr>
      <w:color w:val="605E5C"/>
      <w:shd w:val="clear" w:color="auto" w:fill="E1DFDD"/>
    </w:rPr>
  </w:style>
  <w:style w:type="character" w:styleId="a8">
    <w:name w:val="Emphasis"/>
    <w:basedOn w:val="a0"/>
    <w:uiPriority w:val="20"/>
    <w:qFormat/>
    <w:rsid w:val="00980DB4"/>
    <w:rPr>
      <w:i/>
      <w:iCs/>
    </w:rPr>
  </w:style>
  <w:style w:type="character" w:styleId="a9">
    <w:name w:val="Unresolved Mention"/>
    <w:basedOn w:val="a0"/>
    <w:uiPriority w:val="99"/>
    <w:semiHidden/>
    <w:unhideWhenUsed/>
    <w:rsid w:val="004167C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3199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56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09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652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8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448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614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51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32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36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161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3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7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03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65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zabolotko@nubip.edu.ua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grosystem.com.ua/doilne-obladnannya-na-suchasnijj-lad-sim-raz-vidmiryajj-odin-raz-kupi/" TargetMode="Externa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D4CF89C-2AB7-4AA5-9EE2-F764C57F21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3980</Words>
  <Characters>2269</Characters>
  <Application>Microsoft Office Word</Application>
  <DocSecurity>0</DocSecurity>
  <Lines>18</Lines>
  <Paragraphs>12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Діма Гаврилюк</dc:creator>
  <cp:keywords/>
  <dc:description/>
  <cp:lastModifiedBy>Victor Rebenko</cp:lastModifiedBy>
  <cp:revision>4</cp:revision>
  <dcterms:created xsi:type="dcterms:W3CDTF">2024-11-07T18:19:00Z</dcterms:created>
  <dcterms:modified xsi:type="dcterms:W3CDTF">2025-11-03T15:55:00Z</dcterms:modified>
</cp:coreProperties>
</file>