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1B228359" w:rsidR="00995A9E" w:rsidRDefault="00995A9E" w:rsidP="00526559">
      <w:pPr>
        <w:spacing w:line="276" w:lineRule="auto"/>
        <w:ind w:firstLine="0"/>
        <w:rPr>
          <w:sz w:val="28"/>
          <w:szCs w:val="28"/>
        </w:rPr>
      </w:pPr>
      <w:r w:rsidRPr="00995A9E">
        <w:rPr>
          <w:sz w:val="28"/>
          <w:szCs w:val="28"/>
        </w:rPr>
        <w:t xml:space="preserve">УДК </w:t>
      </w:r>
      <w:r w:rsidR="0047552B" w:rsidRPr="0047552B">
        <w:rPr>
          <w:sz w:val="28"/>
          <w:szCs w:val="28"/>
        </w:rPr>
        <w:t>614.8:631.3</w:t>
      </w:r>
    </w:p>
    <w:p w14:paraId="102E8AD0" w14:textId="77777777" w:rsidR="00700658" w:rsidRPr="00995A9E" w:rsidRDefault="00700658" w:rsidP="00526559">
      <w:pPr>
        <w:spacing w:line="276" w:lineRule="auto"/>
        <w:ind w:firstLine="0"/>
        <w:rPr>
          <w:sz w:val="28"/>
          <w:szCs w:val="28"/>
        </w:rPr>
      </w:pPr>
    </w:p>
    <w:p w14:paraId="648FFEA3" w14:textId="170AFF66" w:rsidR="00D072F7" w:rsidRPr="00995A9E" w:rsidRDefault="009E0CF2" w:rsidP="00526559">
      <w:pPr>
        <w:spacing w:line="276" w:lineRule="auto"/>
        <w:ind w:firstLine="0"/>
        <w:jc w:val="center"/>
        <w:rPr>
          <w:b/>
          <w:caps/>
          <w:sz w:val="28"/>
          <w:szCs w:val="28"/>
        </w:rPr>
      </w:pPr>
      <w:r w:rsidRPr="009E0CF2">
        <w:rPr>
          <w:b/>
          <w:caps/>
          <w:sz w:val="28"/>
          <w:szCs w:val="28"/>
        </w:rPr>
        <w:t>ОСНОВНІ ВИМОГИ БЕЗПЕКИ ПРАЦІ ПІД ЧАС РОЗДАВАННЯ КОРМІВ</w:t>
      </w:r>
    </w:p>
    <w:p w14:paraId="0328B272" w14:textId="77777777" w:rsidR="00995A9E" w:rsidRPr="00995A9E" w:rsidRDefault="00995A9E" w:rsidP="00526559">
      <w:pPr>
        <w:spacing w:line="276" w:lineRule="auto"/>
        <w:ind w:firstLine="0"/>
        <w:jc w:val="center"/>
        <w:rPr>
          <w:rFonts w:cs="Times New Roman"/>
          <w:b/>
          <w:sz w:val="28"/>
          <w:szCs w:val="28"/>
        </w:rPr>
      </w:pPr>
    </w:p>
    <w:p w14:paraId="4B528339" w14:textId="5A17B81D" w:rsidR="00995A9E" w:rsidRPr="000C0A4D" w:rsidRDefault="009E0CF2" w:rsidP="00526559">
      <w:pPr>
        <w:spacing w:line="276" w:lineRule="auto"/>
        <w:ind w:firstLine="0"/>
        <w:jc w:val="center"/>
        <w:rPr>
          <w:rFonts w:cs="Times New Roman"/>
          <w:sz w:val="28"/>
          <w:szCs w:val="28"/>
        </w:rPr>
      </w:pPr>
      <w:r w:rsidRPr="001A56DE">
        <w:rPr>
          <w:b/>
          <w:sz w:val="28"/>
          <w:szCs w:val="28"/>
        </w:rPr>
        <w:t>Тараненко В.</w:t>
      </w:r>
      <w:r w:rsidRPr="001A56DE">
        <w:rPr>
          <w:bCs/>
          <w:sz w:val="28"/>
          <w:szCs w:val="28"/>
        </w:rPr>
        <w:t xml:space="preserve">, </w:t>
      </w:r>
      <w:r w:rsidR="000B2960" w:rsidRPr="000B2960">
        <w:rPr>
          <w:bCs/>
          <w:sz w:val="28"/>
          <w:szCs w:val="28"/>
        </w:rPr>
        <w:t xml:space="preserve">студент, </w:t>
      </w:r>
      <w:proofErr w:type="spellStart"/>
      <w:r w:rsidR="0047552B" w:rsidRPr="0047552B">
        <w:rPr>
          <w:rFonts w:cs="Times New Roman"/>
          <w:b/>
          <w:sz w:val="28"/>
          <w:szCs w:val="28"/>
        </w:rPr>
        <w:t>Марчишина</w:t>
      </w:r>
      <w:proofErr w:type="spellEnd"/>
      <w:r w:rsidR="0047552B" w:rsidRPr="0047552B">
        <w:rPr>
          <w:rFonts w:cs="Times New Roman"/>
          <w:b/>
          <w:sz w:val="28"/>
          <w:szCs w:val="28"/>
        </w:rPr>
        <w:t xml:space="preserve"> Є., </w:t>
      </w:r>
      <w:proofErr w:type="spellStart"/>
      <w:r w:rsidR="00995A9E" w:rsidRPr="000C0A4D">
        <w:rPr>
          <w:rFonts w:cs="Times New Roman"/>
          <w:sz w:val="28"/>
          <w:szCs w:val="28"/>
        </w:rPr>
        <w:t>к.</w:t>
      </w:r>
      <w:r w:rsidR="0047552B">
        <w:rPr>
          <w:rFonts w:cs="Times New Roman"/>
          <w:sz w:val="28"/>
          <w:szCs w:val="28"/>
        </w:rPr>
        <w:t>с.г.</w:t>
      </w:r>
      <w:r w:rsidR="00995A9E" w:rsidRPr="000C0A4D">
        <w:rPr>
          <w:rFonts w:cs="Times New Roman"/>
          <w:sz w:val="28"/>
          <w:szCs w:val="28"/>
        </w:rPr>
        <w:t>н</w:t>
      </w:r>
      <w:proofErr w:type="spellEnd"/>
      <w:r w:rsidR="00995A9E" w:rsidRPr="000C0A4D">
        <w:rPr>
          <w:rFonts w:cs="Times New Roman"/>
          <w:sz w:val="28"/>
          <w:szCs w:val="28"/>
        </w:rPr>
        <w:t xml:space="preserve">., доц., </w:t>
      </w:r>
      <w:r w:rsidR="0047552B" w:rsidRPr="0047552B">
        <w:rPr>
          <w:rFonts w:cs="Times New Roman"/>
          <w:sz w:val="28"/>
          <w:szCs w:val="28"/>
        </w:rPr>
        <w:t>marchyshyna</w:t>
      </w:r>
      <w:r w:rsidR="00995A9E" w:rsidRPr="000C0A4D">
        <w:rPr>
          <w:rFonts w:cs="Times New Roman"/>
          <w:sz w:val="28"/>
          <w:szCs w:val="28"/>
        </w:rPr>
        <w:t>@nubip.edu.ua</w:t>
      </w:r>
    </w:p>
    <w:p w14:paraId="37810A4F" w14:textId="77777777" w:rsidR="00995A9E" w:rsidRPr="00995A9E" w:rsidRDefault="00995A9E" w:rsidP="00526559">
      <w:pPr>
        <w:spacing w:line="276" w:lineRule="auto"/>
        <w:ind w:firstLine="0"/>
        <w:jc w:val="center"/>
        <w:rPr>
          <w:rFonts w:cs="Times New Roman"/>
          <w:i/>
          <w:sz w:val="28"/>
          <w:szCs w:val="28"/>
        </w:rPr>
      </w:pPr>
      <w:r w:rsidRPr="00995A9E">
        <w:rPr>
          <w:rFonts w:cs="Times New Roman"/>
          <w:i/>
          <w:sz w:val="28"/>
          <w:szCs w:val="28"/>
        </w:rPr>
        <w:t>Національний університет біоресурсів і природокористування України</w:t>
      </w:r>
    </w:p>
    <w:p w14:paraId="6C75590E" w14:textId="77777777" w:rsidR="00995A9E" w:rsidRPr="00995A9E" w:rsidRDefault="00995A9E" w:rsidP="00526559">
      <w:pPr>
        <w:spacing w:line="276" w:lineRule="auto"/>
        <w:ind w:firstLine="0"/>
        <w:jc w:val="center"/>
        <w:rPr>
          <w:b/>
          <w:caps/>
          <w:sz w:val="28"/>
          <w:szCs w:val="28"/>
        </w:rPr>
      </w:pPr>
    </w:p>
    <w:p w14:paraId="0A4DEA26"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Для забезпечення технологічних процесів приготування і роздавання збалансованих повнораціонних </w:t>
      </w:r>
      <w:proofErr w:type="spellStart"/>
      <w:r w:rsidRPr="009E0CF2">
        <w:rPr>
          <w:rFonts w:cs="Times New Roman"/>
          <w:sz w:val="28"/>
          <w:szCs w:val="28"/>
        </w:rPr>
        <w:t>кормосумішей</w:t>
      </w:r>
      <w:proofErr w:type="spellEnd"/>
      <w:r w:rsidRPr="009E0CF2">
        <w:rPr>
          <w:rFonts w:cs="Times New Roman"/>
          <w:sz w:val="28"/>
          <w:szCs w:val="28"/>
        </w:rPr>
        <w:t xml:space="preserve"> на тваринницьких комплексах використовують як вітчизняні мобільні та стаціонарні роздавачі кормів, так і багатофункціональні імпортні машини, які реалізуються на ринку України. Це, насамперед, мобільні кормозмішувачі-роздавачі, які залежно від моделі виконують технологічні операції завантажування, дозування, подрібнювання, змішування компонентів </w:t>
      </w:r>
      <w:proofErr w:type="spellStart"/>
      <w:r w:rsidRPr="009E0CF2">
        <w:rPr>
          <w:rFonts w:cs="Times New Roman"/>
          <w:sz w:val="28"/>
          <w:szCs w:val="28"/>
        </w:rPr>
        <w:t>кормосуміші</w:t>
      </w:r>
      <w:proofErr w:type="spellEnd"/>
      <w:r w:rsidRPr="009E0CF2">
        <w:rPr>
          <w:rFonts w:cs="Times New Roman"/>
          <w:sz w:val="28"/>
          <w:szCs w:val="28"/>
        </w:rPr>
        <w:t xml:space="preserve">, транспортування і дозоване роздавання її на кормовий стіл тваринам. </w:t>
      </w:r>
    </w:p>
    <w:p w14:paraId="6A1C5884"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У господарствах різних форм власності переважно працюють причіпні кормозмішувачі-роздавачі з горизонтальною та вертикальною системами змішування місткістю від 8 м</w:t>
      </w:r>
      <w:r w:rsidRPr="009E0CF2">
        <w:rPr>
          <w:rFonts w:cs="Times New Roman"/>
          <w:sz w:val="28"/>
          <w:szCs w:val="28"/>
          <w:vertAlign w:val="superscript"/>
        </w:rPr>
        <w:t>3</w:t>
      </w:r>
      <w:r w:rsidRPr="009E0CF2">
        <w:rPr>
          <w:rFonts w:cs="Times New Roman"/>
          <w:sz w:val="28"/>
          <w:szCs w:val="28"/>
        </w:rPr>
        <w:t xml:space="preserve"> до 15 м</w:t>
      </w:r>
      <w:r w:rsidRPr="009E0CF2">
        <w:rPr>
          <w:rFonts w:cs="Times New Roman"/>
          <w:sz w:val="28"/>
          <w:szCs w:val="28"/>
          <w:vertAlign w:val="superscript"/>
        </w:rPr>
        <w:t>3</w:t>
      </w:r>
      <w:r w:rsidRPr="009E0CF2">
        <w:rPr>
          <w:rFonts w:cs="Times New Roman"/>
          <w:sz w:val="28"/>
          <w:szCs w:val="28"/>
        </w:rPr>
        <w:t xml:space="preserve">. Необхідно відмітити, що в останні роки все більше застосовують машини з вертикальними </w:t>
      </w:r>
      <w:proofErr w:type="spellStart"/>
      <w:r w:rsidRPr="009E0CF2">
        <w:rPr>
          <w:rFonts w:cs="Times New Roman"/>
          <w:sz w:val="28"/>
          <w:szCs w:val="28"/>
        </w:rPr>
        <w:t>змішувально</w:t>
      </w:r>
      <w:proofErr w:type="spellEnd"/>
      <w:r w:rsidRPr="009E0CF2">
        <w:rPr>
          <w:rFonts w:cs="Times New Roman"/>
          <w:sz w:val="28"/>
          <w:szCs w:val="28"/>
        </w:rPr>
        <w:t xml:space="preserve">-подрібнювальними шнеками. Застосування у системі змішування двох шнеків дозволило зменшити висоту фермських комбайнів, збільшивши їх місткість, що розширило зону їх застосування у тваринницьких приміщеннях з висотою воріт більше 2,6 м. </w:t>
      </w:r>
    </w:p>
    <w:p w14:paraId="5C7CC04E"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Статистичний аналіз причин виробничого травматизму у тваринницькій галузі показує, що значна кількість нещасних випадків порівняно з іншими типами машин та обладнання для тваринництва трапляється під час технічного та технологічного обслуговування роздавачів кормів, зокрема кормороздавачів КТУ-10. </w:t>
      </w:r>
    </w:p>
    <w:p w14:paraId="38EA4FF2"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На цих машинах нещасні випадки можуть статися у разі перебування тракториста у зоні обертання незахищеного кожухом карданного валу та у зоні рухомих </w:t>
      </w:r>
      <w:proofErr w:type="spellStart"/>
      <w:r w:rsidRPr="009E0CF2">
        <w:rPr>
          <w:rFonts w:cs="Times New Roman"/>
          <w:sz w:val="28"/>
          <w:szCs w:val="28"/>
        </w:rPr>
        <w:t>бітерів</w:t>
      </w:r>
      <w:proofErr w:type="spellEnd"/>
      <w:r w:rsidRPr="009E0CF2">
        <w:rPr>
          <w:rFonts w:cs="Times New Roman"/>
          <w:sz w:val="28"/>
          <w:szCs w:val="28"/>
        </w:rPr>
        <w:t xml:space="preserve"> кормороздавача. Причиною перебування працівника у зоні обертових деталей є вихід з ладу одного з повздовжніх транспортерів кормороздавача. Через це тракторист залазить у кузов кормороздавача та перекидає корм на інше полотно. За такої ситуації </w:t>
      </w:r>
      <w:proofErr w:type="spellStart"/>
      <w:r w:rsidRPr="009E0CF2">
        <w:rPr>
          <w:rFonts w:cs="Times New Roman"/>
          <w:sz w:val="28"/>
          <w:szCs w:val="28"/>
        </w:rPr>
        <w:t>бітери</w:t>
      </w:r>
      <w:proofErr w:type="spellEnd"/>
      <w:r w:rsidRPr="009E0CF2">
        <w:rPr>
          <w:rFonts w:cs="Times New Roman"/>
          <w:sz w:val="28"/>
          <w:szCs w:val="28"/>
        </w:rPr>
        <w:t xml:space="preserve"> можуть захопити одяг працівника. Захоплення одягу, а далі і кінцівок людини може статися під час ремонтування ланцюга транспортера, його змазування чи очищання літерів, якщо не вимкнено вал відбирання потужності трактора.</w:t>
      </w:r>
    </w:p>
    <w:p w14:paraId="1009C811"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Під час очищання </w:t>
      </w:r>
      <w:proofErr w:type="spellStart"/>
      <w:r w:rsidRPr="009E0CF2">
        <w:rPr>
          <w:rFonts w:cs="Times New Roman"/>
          <w:sz w:val="28"/>
          <w:szCs w:val="28"/>
        </w:rPr>
        <w:t>бітерів</w:t>
      </w:r>
      <w:proofErr w:type="spellEnd"/>
      <w:r w:rsidRPr="009E0CF2">
        <w:rPr>
          <w:rFonts w:cs="Times New Roman"/>
          <w:sz w:val="28"/>
          <w:szCs w:val="28"/>
        </w:rPr>
        <w:t xml:space="preserve"> ноги працівника перебувають на вивантажувальному транспортері. Тому після самовільного запуску </w:t>
      </w:r>
      <w:r w:rsidRPr="009E0CF2">
        <w:rPr>
          <w:rFonts w:cs="Times New Roman"/>
          <w:sz w:val="28"/>
          <w:szCs w:val="28"/>
        </w:rPr>
        <w:lastRenderedPageBreak/>
        <w:t xml:space="preserve">кормороздавача працівник може впасти ногами до виходу вивантажувального поперечного транспортера, вдаритися головою об огородження, його руки може затягти між </w:t>
      </w:r>
      <w:proofErr w:type="spellStart"/>
      <w:r w:rsidRPr="009E0CF2">
        <w:rPr>
          <w:rFonts w:cs="Times New Roman"/>
          <w:sz w:val="28"/>
          <w:szCs w:val="28"/>
        </w:rPr>
        <w:t>бітерами</w:t>
      </w:r>
      <w:proofErr w:type="spellEnd"/>
      <w:r w:rsidRPr="009E0CF2">
        <w:rPr>
          <w:rFonts w:cs="Times New Roman"/>
          <w:sz w:val="28"/>
          <w:szCs w:val="28"/>
        </w:rPr>
        <w:t xml:space="preserve"> тощо. І поки спрацює запобіжна муфта від перевантаження, залишається високий ризик травмування працівника з важкими наслідками. </w:t>
      </w:r>
    </w:p>
    <w:p w14:paraId="624CDCC9"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Неогороджений карданний вал кормороздавача може захопити одяг і кінцівки працівника під час ремонтування поперечного транспортера (під час його забивання, обмерзання та пробуксовування) та у разі намагання визначити кількість корму, який залишається у кузові кормороздавача КТУ-10. В останньому випадку тракторист намагається заглянути до кузова через передній борт. </w:t>
      </w:r>
    </w:p>
    <w:p w14:paraId="39BEF618"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Аналіз нещасних випадків з смертельним наслідком показує наступний розподіл травм щодо дії конструкційних елементів кормороздавачів на працівників: </w:t>
      </w:r>
      <w:proofErr w:type="spellStart"/>
      <w:r w:rsidRPr="009E0CF2">
        <w:rPr>
          <w:rFonts w:cs="Times New Roman"/>
          <w:sz w:val="28"/>
          <w:szCs w:val="28"/>
        </w:rPr>
        <w:t>кормовідокремлювальні</w:t>
      </w:r>
      <w:proofErr w:type="spellEnd"/>
      <w:r w:rsidRPr="009E0CF2">
        <w:rPr>
          <w:rFonts w:cs="Times New Roman"/>
          <w:sz w:val="28"/>
          <w:szCs w:val="28"/>
        </w:rPr>
        <w:t xml:space="preserve"> органи (</w:t>
      </w:r>
      <w:proofErr w:type="spellStart"/>
      <w:r w:rsidRPr="009E0CF2">
        <w:rPr>
          <w:rFonts w:cs="Times New Roman"/>
          <w:sz w:val="28"/>
          <w:szCs w:val="28"/>
        </w:rPr>
        <w:t>бітери</w:t>
      </w:r>
      <w:proofErr w:type="spellEnd"/>
      <w:r w:rsidRPr="009E0CF2">
        <w:rPr>
          <w:rFonts w:cs="Times New Roman"/>
          <w:sz w:val="28"/>
          <w:szCs w:val="28"/>
        </w:rPr>
        <w:t>) – 35,4 %; карданний вал - 21,4 %; бункер та поздовжній транспортер – 9,2 %;  ходова частина – 9,2 %;  бункер та поперечний транспортер – 4,6 %; зчіпка – 3,1 %; корпус та рама – 4,6 %; падіння з висоти – 12,5 %. Нещасні випадки через вказані технічні причини травматизму багато у чому були обумовлені неуважністю працівників, їх низьким рівнем виконавчої дисципліни, недотриманням вимог охорони праці. Але наявність на кормороздавачах технічних засобів безпеки не дозволила б працівникам зазнати травм.</w:t>
      </w:r>
    </w:p>
    <w:p w14:paraId="6DF3BFD9"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Наявні захисні огорожі небезпечних місць кормороздавача (храповий механізм привода повздовжніх транспортерів, ланцюгові приводи </w:t>
      </w:r>
      <w:proofErr w:type="spellStart"/>
      <w:r w:rsidRPr="009E0CF2">
        <w:rPr>
          <w:rFonts w:cs="Times New Roman"/>
          <w:sz w:val="28"/>
          <w:szCs w:val="28"/>
        </w:rPr>
        <w:t>бітерів</w:t>
      </w:r>
      <w:proofErr w:type="spellEnd"/>
      <w:r w:rsidRPr="009E0CF2">
        <w:rPr>
          <w:rFonts w:cs="Times New Roman"/>
          <w:sz w:val="28"/>
          <w:szCs w:val="28"/>
        </w:rPr>
        <w:t xml:space="preserve"> та вивантажувального транспортера) </w:t>
      </w:r>
      <w:proofErr w:type="spellStart"/>
      <w:r w:rsidRPr="009E0CF2">
        <w:rPr>
          <w:rFonts w:cs="Times New Roman"/>
          <w:sz w:val="28"/>
          <w:szCs w:val="28"/>
        </w:rPr>
        <w:t>конструкційно</w:t>
      </w:r>
      <w:proofErr w:type="spellEnd"/>
      <w:r w:rsidRPr="009E0CF2">
        <w:rPr>
          <w:rFonts w:cs="Times New Roman"/>
          <w:sz w:val="28"/>
          <w:szCs w:val="28"/>
        </w:rPr>
        <w:t xml:space="preserve"> виконано у вигляді відкидних кожухів з листової сталі. Під час проведення технічного обслуговування механізмів приводів не забезпечено зручність виконання робіт та безпеку працівників.</w:t>
      </w:r>
    </w:p>
    <w:p w14:paraId="3B13CC76"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На захисних огорожах (кожухах) відсутні ручки для їх відкривання та закривання, а наявність гострих крайок часто спричиняє поранення рук працівника. Використані на кормороздавачі суцільні огороджувальні кожухи не дозволяють працівнику спостерігати за роботою механізмів приводу та проводити технічне обслуговування, не відкриваючи їх. Під час відкривання кожухів доводиться користуватися ключем, адже гайки схоплює іржа. Причинами частої відсутності захисного огородження карданного </w:t>
      </w:r>
      <w:proofErr w:type="spellStart"/>
      <w:r w:rsidRPr="009E0CF2">
        <w:rPr>
          <w:rFonts w:cs="Times New Roman"/>
          <w:sz w:val="28"/>
          <w:szCs w:val="28"/>
        </w:rPr>
        <w:t>вала</w:t>
      </w:r>
      <w:proofErr w:type="spellEnd"/>
      <w:r w:rsidRPr="009E0CF2">
        <w:rPr>
          <w:rFonts w:cs="Times New Roman"/>
          <w:sz w:val="28"/>
          <w:szCs w:val="28"/>
        </w:rPr>
        <w:t xml:space="preserve"> є велика маса карданного </w:t>
      </w:r>
      <w:proofErr w:type="spellStart"/>
      <w:r w:rsidRPr="009E0CF2">
        <w:rPr>
          <w:rFonts w:cs="Times New Roman"/>
          <w:sz w:val="28"/>
          <w:szCs w:val="28"/>
        </w:rPr>
        <w:t>вала</w:t>
      </w:r>
      <w:proofErr w:type="spellEnd"/>
      <w:r w:rsidRPr="009E0CF2">
        <w:rPr>
          <w:rFonts w:cs="Times New Roman"/>
          <w:sz w:val="28"/>
          <w:szCs w:val="28"/>
        </w:rPr>
        <w:t xml:space="preserve"> разом з захисним огородженням, відсутність герметичності захисних телескопічних труб від потрапляння у їх порожнини землі та кормової маси. До того ж вказані чинники призводять до ускладнення агрегатування кормороздавача з трактором.</w:t>
      </w:r>
    </w:p>
    <w:p w14:paraId="0197A29D"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Захисні огородження приводу </w:t>
      </w:r>
      <w:proofErr w:type="spellStart"/>
      <w:r w:rsidRPr="009E0CF2">
        <w:rPr>
          <w:rFonts w:cs="Times New Roman"/>
          <w:sz w:val="28"/>
          <w:szCs w:val="28"/>
        </w:rPr>
        <w:t>бітерів</w:t>
      </w:r>
      <w:proofErr w:type="spellEnd"/>
      <w:r w:rsidRPr="009E0CF2">
        <w:rPr>
          <w:rFonts w:cs="Times New Roman"/>
          <w:sz w:val="28"/>
          <w:szCs w:val="28"/>
        </w:rPr>
        <w:t xml:space="preserve"> і поперечного транспортера не встановлюють на місце через те, що часто доводиться натягувати ланцюги, а фіксування захисного огородження за допомогою гайок є незручним.</w:t>
      </w:r>
    </w:p>
    <w:p w14:paraId="3146090C"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Конструкцією кормороздавача не передбачено дистанційного реверсу </w:t>
      </w:r>
      <w:r w:rsidRPr="009E0CF2">
        <w:rPr>
          <w:rFonts w:cs="Times New Roman"/>
          <w:sz w:val="28"/>
          <w:szCs w:val="28"/>
        </w:rPr>
        <w:lastRenderedPageBreak/>
        <w:t>механізму поздовжніх транспортерів з кабіни трактора. Щоб змінити напрям руху поздовжніх транспортерів, відкинувши кожух потрібно встановити у відповідне положення собачку храпового механізму, для чого доводиться вручну знімати та натягати пружини, застосовуючи значні зусилля. Наявність відкритих зубів храпового колеса, гострих крайок може призвести до травмування рук працівника.</w:t>
      </w:r>
    </w:p>
    <w:p w14:paraId="66D5EB0C"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Також часто відсутні написи поблизу робочих органів, що забороняють їх очищати та технічно обслуговувати, якщо двигун трактора не вимкнено. Табличку з кінематичною схемою сектора перемикання швидкості повздовжніх транспортерів розташовано на зовнішньому боці переднього борта кузова, що створює незручності під час користування нею. Потрібно розмістити її на внутрішньому боці захисного кожуха храпового механізму, а ручку регулятора винести з-під кожуха.</w:t>
      </w:r>
    </w:p>
    <w:p w14:paraId="37A720F6"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Зниження ризику травматизму на мобільному кормороздавачі може забезпечити ряд організаційних та технічних заходів. Серед них потрібно відмітити: забезпечення надійності ланцюга лівого повздовжнього транспортера; - рівномірний розподіл корму в кузові; автоматичне вимкнення валу відбирання потужності у випадку силового перевантаження чи пошкодження вузлів кормороздавача;  забезпечення візуального контролю трактористом за наявністю корму в кузові. На всіх агрегатованих з трактором машинах необхідно встановити технологічно надійне огородження обертового карданного валу.</w:t>
      </w:r>
    </w:p>
    <w:p w14:paraId="21A84740"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Одним з організаційних заходів для зниження ризику травмування працівників під час механізованого роздавання кормів є використання карти показників безпеки кормороздавача КТУ-10, в якій вказано нормативні показники безпеки машини, запропоновано методи виявлення порушень та зазначено терміни перевірки (табл. 1).  </w:t>
      </w:r>
    </w:p>
    <w:p w14:paraId="4FC21979"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Мобільні кормороздавачі повинні відповідати вимогам експлуатаційної документації та мати такі пристрої безпеки: </w:t>
      </w:r>
      <w:proofErr w:type="spellStart"/>
      <w:r w:rsidRPr="009E0CF2">
        <w:rPr>
          <w:rFonts w:cs="Times New Roman"/>
          <w:sz w:val="28"/>
          <w:szCs w:val="28"/>
        </w:rPr>
        <w:t>страхувальний</w:t>
      </w:r>
      <w:proofErr w:type="spellEnd"/>
      <w:r w:rsidRPr="009E0CF2">
        <w:rPr>
          <w:rFonts w:cs="Times New Roman"/>
          <w:sz w:val="28"/>
          <w:szCs w:val="28"/>
        </w:rPr>
        <w:t xml:space="preserve"> ланцюг; захисні кожухи; пристрій для жорсткого фіксування карданного </w:t>
      </w:r>
      <w:proofErr w:type="spellStart"/>
      <w:r w:rsidRPr="009E0CF2">
        <w:rPr>
          <w:rFonts w:cs="Times New Roman"/>
          <w:sz w:val="28"/>
          <w:szCs w:val="28"/>
        </w:rPr>
        <w:t>вала</w:t>
      </w:r>
      <w:proofErr w:type="spellEnd"/>
      <w:r w:rsidRPr="009E0CF2">
        <w:rPr>
          <w:rFonts w:cs="Times New Roman"/>
          <w:sz w:val="28"/>
          <w:szCs w:val="28"/>
        </w:rPr>
        <w:t xml:space="preserve"> у транспортному положенні; ручний привод гальм із фіксуванням важеля. Мобільні кормороздавачі, які агрегатують з тракторами, має бути забезпечено зчіпними пристроями, що не потребують участі в агрегатуванні допоміжних працівників. </w:t>
      </w:r>
    </w:p>
    <w:p w14:paraId="64580BC6" w14:textId="77777777" w:rsidR="009E0CF2" w:rsidRPr="009E0CF2" w:rsidRDefault="009E0CF2" w:rsidP="009E0CF2">
      <w:pPr>
        <w:spacing w:line="276" w:lineRule="auto"/>
        <w:jc w:val="both"/>
        <w:rPr>
          <w:rFonts w:cs="Times New Roman"/>
          <w:sz w:val="28"/>
          <w:szCs w:val="28"/>
        </w:rPr>
      </w:pPr>
    </w:p>
    <w:p w14:paraId="20C89C73"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Таблиця 1. Фрагмент карти контролю показників безпеки мобільного кормороздавача КТУ-10.</w:t>
      </w:r>
    </w:p>
    <w:tbl>
      <w:tblPr>
        <w:tblW w:w="9631" w:type="dxa"/>
        <w:jc w:val="center"/>
        <w:tblLayout w:type="fixed"/>
        <w:tblCellMar>
          <w:top w:w="15" w:type="dxa"/>
          <w:left w:w="15" w:type="dxa"/>
          <w:bottom w:w="15" w:type="dxa"/>
          <w:right w:w="15" w:type="dxa"/>
        </w:tblCellMar>
        <w:tblLook w:val="04A0" w:firstRow="1" w:lastRow="0" w:firstColumn="1" w:lastColumn="0" w:noHBand="0" w:noVBand="1"/>
      </w:tblPr>
      <w:tblGrid>
        <w:gridCol w:w="1905"/>
        <w:gridCol w:w="3420"/>
        <w:gridCol w:w="2055"/>
        <w:gridCol w:w="2251"/>
      </w:tblGrid>
      <w:tr w:rsidR="009E0CF2" w:rsidRPr="009E0CF2" w14:paraId="2F3E404B" w14:textId="77777777" w:rsidTr="009E0CF2">
        <w:trPr>
          <w:jc w:val="center"/>
        </w:trPr>
        <w:tc>
          <w:tcPr>
            <w:tcW w:w="1905" w:type="dxa"/>
            <w:tcBorders>
              <w:top w:val="outset" w:sz="6" w:space="0" w:color="auto"/>
              <w:left w:val="outset" w:sz="6" w:space="0" w:color="auto"/>
              <w:bottom w:val="outset" w:sz="6" w:space="0" w:color="auto"/>
              <w:right w:val="outset" w:sz="6" w:space="0" w:color="auto"/>
            </w:tcBorders>
            <w:hideMark/>
          </w:tcPr>
          <w:p w14:paraId="4B26A25F"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Найменування вузла машини</w:t>
            </w:r>
          </w:p>
        </w:tc>
        <w:tc>
          <w:tcPr>
            <w:tcW w:w="3420" w:type="dxa"/>
            <w:tcBorders>
              <w:top w:val="outset" w:sz="6" w:space="0" w:color="auto"/>
              <w:left w:val="outset" w:sz="6" w:space="0" w:color="auto"/>
              <w:bottom w:val="outset" w:sz="6" w:space="0" w:color="auto"/>
              <w:right w:val="outset" w:sz="6" w:space="0" w:color="auto"/>
            </w:tcBorders>
            <w:hideMark/>
          </w:tcPr>
          <w:p w14:paraId="242FF200" w14:textId="14B8E753"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Контрольований показник.</w:t>
            </w:r>
          </w:p>
          <w:p w14:paraId="5E63BB85"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Нормативні вимоги безпеки</w:t>
            </w:r>
          </w:p>
        </w:tc>
        <w:tc>
          <w:tcPr>
            <w:tcW w:w="2055" w:type="dxa"/>
            <w:tcBorders>
              <w:top w:val="outset" w:sz="6" w:space="0" w:color="auto"/>
              <w:left w:val="outset" w:sz="6" w:space="0" w:color="auto"/>
              <w:bottom w:val="outset" w:sz="6" w:space="0" w:color="auto"/>
              <w:right w:val="outset" w:sz="6" w:space="0" w:color="auto"/>
            </w:tcBorders>
            <w:hideMark/>
          </w:tcPr>
          <w:p w14:paraId="331DCF22"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 xml:space="preserve">Методи </w:t>
            </w:r>
            <w:proofErr w:type="spellStart"/>
            <w:r w:rsidRPr="009E0CF2">
              <w:rPr>
                <w:rFonts w:cs="Times New Roman"/>
                <w:sz w:val="28"/>
                <w:szCs w:val="28"/>
              </w:rPr>
              <w:t>оцінення</w:t>
            </w:r>
            <w:proofErr w:type="spellEnd"/>
            <w:r w:rsidRPr="009E0CF2">
              <w:rPr>
                <w:rFonts w:cs="Times New Roman"/>
                <w:sz w:val="28"/>
                <w:szCs w:val="28"/>
              </w:rPr>
              <w:t>. Прилади, інструмент. Приладдя.</w:t>
            </w:r>
          </w:p>
        </w:tc>
        <w:tc>
          <w:tcPr>
            <w:tcW w:w="2251" w:type="dxa"/>
            <w:tcBorders>
              <w:top w:val="outset" w:sz="6" w:space="0" w:color="auto"/>
              <w:left w:val="outset" w:sz="6" w:space="0" w:color="auto"/>
              <w:bottom w:val="outset" w:sz="6" w:space="0" w:color="auto"/>
              <w:right w:val="outset" w:sz="6" w:space="0" w:color="auto"/>
            </w:tcBorders>
            <w:hideMark/>
          </w:tcPr>
          <w:p w14:paraId="19A021D2"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Періодичність контролю</w:t>
            </w:r>
          </w:p>
        </w:tc>
      </w:tr>
      <w:tr w:rsidR="009E0CF2" w:rsidRPr="009E0CF2" w14:paraId="09F02B61" w14:textId="77777777" w:rsidTr="009E0CF2">
        <w:trPr>
          <w:jc w:val="center"/>
        </w:trPr>
        <w:tc>
          <w:tcPr>
            <w:tcW w:w="1905" w:type="dxa"/>
            <w:tcBorders>
              <w:top w:val="nil"/>
              <w:left w:val="outset" w:sz="6" w:space="0" w:color="auto"/>
              <w:bottom w:val="outset" w:sz="6" w:space="0" w:color="auto"/>
              <w:right w:val="outset" w:sz="6" w:space="0" w:color="auto"/>
            </w:tcBorders>
            <w:hideMark/>
          </w:tcPr>
          <w:p w14:paraId="02355045"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lastRenderedPageBreak/>
              <w:t>Карданна передача</w:t>
            </w:r>
          </w:p>
        </w:tc>
        <w:tc>
          <w:tcPr>
            <w:tcW w:w="3420" w:type="dxa"/>
            <w:tcBorders>
              <w:top w:val="nil"/>
              <w:left w:val="outset" w:sz="6" w:space="0" w:color="auto"/>
              <w:bottom w:val="outset" w:sz="6" w:space="0" w:color="auto"/>
              <w:right w:val="outset" w:sz="6" w:space="0" w:color="auto"/>
            </w:tcBorders>
            <w:hideMark/>
          </w:tcPr>
          <w:p w14:paraId="5255246F"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Кріплення огородження карданного валу</w:t>
            </w:r>
          </w:p>
        </w:tc>
        <w:tc>
          <w:tcPr>
            <w:tcW w:w="2055" w:type="dxa"/>
            <w:tcBorders>
              <w:top w:val="nil"/>
              <w:left w:val="outset" w:sz="6" w:space="0" w:color="auto"/>
              <w:bottom w:val="outset" w:sz="6" w:space="0" w:color="auto"/>
              <w:right w:val="outset" w:sz="6" w:space="0" w:color="auto"/>
            </w:tcBorders>
            <w:hideMark/>
          </w:tcPr>
          <w:p w14:paraId="2763871A"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Зовнішній огляд. Випробування</w:t>
            </w:r>
          </w:p>
        </w:tc>
        <w:tc>
          <w:tcPr>
            <w:tcW w:w="2251" w:type="dxa"/>
            <w:tcBorders>
              <w:top w:val="nil"/>
              <w:left w:val="outset" w:sz="6" w:space="0" w:color="auto"/>
              <w:bottom w:val="outset" w:sz="6" w:space="0" w:color="auto"/>
              <w:right w:val="outset" w:sz="6" w:space="0" w:color="auto"/>
            </w:tcBorders>
            <w:hideMark/>
          </w:tcPr>
          <w:p w14:paraId="3042B395" w14:textId="77777777" w:rsidR="009E0CF2" w:rsidRPr="009E0CF2" w:rsidRDefault="009E0CF2" w:rsidP="009E0CF2">
            <w:pPr>
              <w:spacing w:line="276" w:lineRule="auto"/>
              <w:ind w:firstLine="0"/>
              <w:jc w:val="center"/>
              <w:rPr>
                <w:rFonts w:cs="Times New Roman"/>
                <w:sz w:val="28"/>
                <w:szCs w:val="28"/>
              </w:rPr>
            </w:pPr>
            <w:proofErr w:type="spellStart"/>
            <w:r w:rsidRPr="009E0CF2">
              <w:rPr>
                <w:rFonts w:cs="Times New Roman"/>
                <w:sz w:val="28"/>
                <w:szCs w:val="28"/>
              </w:rPr>
              <w:t>Щозмінно</w:t>
            </w:r>
            <w:proofErr w:type="spellEnd"/>
          </w:p>
        </w:tc>
      </w:tr>
      <w:tr w:rsidR="009E0CF2" w:rsidRPr="009E0CF2" w14:paraId="3D11AA93" w14:textId="77777777" w:rsidTr="009E0CF2">
        <w:trPr>
          <w:jc w:val="center"/>
        </w:trPr>
        <w:tc>
          <w:tcPr>
            <w:tcW w:w="1905" w:type="dxa"/>
            <w:tcBorders>
              <w:top w:val="nil"/>
              <w:left w:val="outset" w:sz="6" w:space="0" w:color="auto"/>
              <w:bottom w:val="outset" w:sz="6" w:space="0" w:color="auto"/>
              <w:right w:val="outset" w:sz="6" w:space="0" w:color="auto"/>
            </w:tcBorders>
            <w:hideMark/>
          </w:tcPr>
          <w:p w14:paraId="5DBCF051"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Кузов</w:t>
            </w:r>
          </w:p>
        </w:tc>
        <w:tc>
          <w:tcPr>
            <w:tcW w:w="3420" w:type="dxa"/>
            <w:tcBorders>
              <w:top w:val="nil"/>
              <w:left w:val="outset" w:sz="6" w:space="0" w:color="auto"/>
              <w:bottom w:val="outset" w:sz="6" w:space="0" w:color="auto"/>
              <w:right w:val="outset" w:sz="6" w:space="0" w:color="auto"/>
            </w:tcBorders>
            <w:hideMark/>
          </w:tcPr>
          <w:p w14:paraId="345C4997"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 xml:space="preserve">Відсутність зайвих предметів, наявність захисних щитків привода </w:t>
            </w:r>
            <w:proofErr w:type="spellStart"/>
            <w:r w:rsidRPr="009E0CF2">
              <w:rPr>
                <w:rFonts w:cs="Times New Roman"/>
                <w:sz w:val="28"/>
                <w:szCs w:val="28"/>
              </w:rPr>
              <w:t>бітерів</w:t>
            </w:r>
            <w:proofErr w:type="spellEnd"/>
          </w:p>
        </w:tc>
        <w:tc>
          <w:tcPr>
            <w:tcW w:w="2055" w:type="dxa"/>
            <w:tcBorders>
              <w:top w:val="nil"/>
              <w:left w:val="outset" w:sz="6" w:space="0" w:color="auto"/>
              <w:bottom w:val="outset" w:sz="6" w:space="0" w:color="auto"/>
              <w:right w:val="outset" w:sz="6" w:space="0" w:color="auto"/>
            </w:tcBorders>
            <w:hideMark/>
          </w:tcPr>
          <w:p w14:paraId="537FEA7D"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Зовнішній огляд</w:t>
            </w:r>
          </w:p>
        </w:tc>
        <w:tc>
          <w:tcPr>
            <w:tcW w:w="2251" w:type="dxa"/>
            <w:tcBorders>
              <w:top w:val="nil"/>
              <w:left w:val="outset" w:sz="6" w:space="0" w:color="auto"/>
              <w:bottom w:val="outset" w:sz="6" w:space="0" w:color="auto"/>
              <w:right w:val="outset" w:sz="6" w:space="0" w:color="auto"/>
            </w:tcBorders>
            <w:hideMark/>
          </w:tcPr>
          <w:p w14:paraId="6D53A5EF" w14:textId="77777777" w:rsidR="009E0CF2" w:rsidRPr="009E0CF2" w:rsidRDefault="009E0CF2" w:rsidP="009E0CF2">
            <w:pPr>
              <w:spacing w:line="276" w:lineRule="auto"/>
              <w:ind w:firstLine="0"/>
              <w:jc w:val="center"/>
              <w:rPr>
                <w:rFonts w:cs="Times New Roman"/>
                <w:sz w:val="28"/>
                <w:szCs w:val="28"/>
              </w:rPr>
            </w:pPr>
            <w:proofErr w:type="spellStart"/>
            <w:r w:rsidRPr="009E0CF2">
              <w:rPr>
                <w:rFonts w:cs="Times New Roman"/>
                <w:sz w:val="28"/>
                <w:szCs w:val="28"/>
              </w:rPr>
              <w:t>Щозмінно</w:t>
            </w:r>
            <w:proofErr w:type="spellEnd"/>
          </w:p>
        </w:tc>
      </w:tr>
      <w:tr w:rsidR="009E0CF2" w:rsidRPr="009E0CF2" w14:paraId="21487A74" w14:textId="77777777" w:rsidTr="009E0CF2">
        <w:trPr>
          <w:jc w:val="center"/>
        </w:trPr>
        <w:tc>
          <w:tcPr>
            <w:tcW w:w="1905" w:type="dxa"/>
            <w:tcBorders>
              <w:top w:val="nil"/>
              <w:left w:val="outset" w:sz="6" w:space="0" w:color="auto"/>
              <w:bottom w:val="outset" w:sz="6" w:space="0" w:color="auto"/>
              <w:right w:val="outset" w:sz="6" w:space="0" w:color="auto"/>
            </w:tcBorders>
            <w:hideMark/>
          </w:tcPr>
          <w:p w14:paraId="69C9A0D7"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Транспортери</w:t>
            </w:r>
          </w:p>
        </w:tc>
        <w:tc>
          <w:tcPr>
            <w:tcW w:w="3420" w:type="dxa"/>
            <w:tcBorders>
              <w:top w:val="nil"/>
              <w:left w:val="outset" w:sz="6" w:space="0" w:color="auto"/>
              <w:bottom w:val="outset" w:sz="6" w:space="0" w:color="auto"/>
              <w:right w:val="outset" w:sz="6" w:space="0" w:color="auto"/>
            </w:tcBorders>
            <w:hideMark/>
          </w:tcPr>
          <w:p w14:paraId="772C5755"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Справність та натяг ланцюга (стріла прогину 120-300 мм; зазор між нижньою гілкою і щитком не менше 2 мм)</w:t>
            </w:r>
          </w:p>
        </w:tc>
        <w:tc>
          <w:tcPr>
            <w:tcW w:w="2055" w:type="dxa"/>
            <w:tcBorders>
              <w:top w:val="nil"/>
              <w:left w:val="outset" w:sz="6" w:space="0" w:color="auto"/>
              <w:bottom w:val="outset" w:sz="6" w:space="0" w:color="auto"/>
              <w:right w:val="outset" w:sz="6" w:space="0" w:color="auto"/>
            </w:tcBorders>
            <w:hideMark/>
          </w:tcPr>
          <w:p w14:paraId="7B1F420D"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 xml:space="preserve">Вимірювання: лінійка, </w:t>
            </w:r>
            <w:proofErr w:type="spellStart"/>
            <w:r w:rsidRPr="009E0CF2">
              <w:rPr>
                <w:rFonts w:cs="Times New Roman"/>
                <w:sz w:val="28"/>
                <w:szCs w:val="28"/>
              </w:rPr>
              <w:t>штангельциркуль</w:t>
            </w:r>
            <w:proofErr w:type="spellEnd"/>
          </w:p>
        </w:tc>
        <w:tc>
          <w:tcPr>
            <w:tcW w:w="2251" w:type="dxa"/>
            <w:tcBorders>
              <w:top w:val="nil"/>
              <w:left w:val="outset" w:sz="6" w:space="0" w:color="auto"/>
              <w:bottom w:val="outset" w:sz="6" w:space="0" w:color="auto"/>
              <w:right w:val="outset" w:sz="6" w:space="0" w:color="auto"/>
            </w:tcBorders>
            <w:hideMark/>
          </w:tcPr>
          <w:p w14:paraId="7935D565"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Щомісячно</w:t>
            </w:r>
          </w:p>
        </w:tc>
      </w:tr>
      <w:tr w:rsidR="009E0CF2" w:rsidRPr="009E0CF2" w14:paraId="1D4C252B" w14:textId="77777777" w:rsidTr="009E0CF2">
        <w:trPr>
          <w:jc w:val="center"/>
        </w:trPr>
        <w:tc>
          <w:tcPr>
            <w:tcW w:w="1905" w:type="dxa"/>
            <w:tcBorders>
              <w:top w:val="nil"/>
              <w:left w:val="outset" w:sz="6" w:space="0" w:color="auto"/>
              <w:bottom w:val="outset" w:sz="6" w:space="0" w:color="auto"/>
              <w:right w:val="outset" w:sz="6" w:space="0" w:color="auto"/>
            </w:tcBorders>
            <w:hideMark/>
          </w:tcPr>
          <w:p w14:paraId="748E8A3B"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Привід поперечного транспортера</w:t>
            </w:r>
          </w:p>
        </w:tc>
        <w:tc>
          <w:tcPr>
            <w:tcW w:w="3420" w:type="dxa"/>
            <w:tcBorders>
              <w:top w:val="nil"/>
              <w:left w:val="outset" w:sz="6" w:space="0" w:color="auto"/>
              <w:bottom w:val="outset" w:sz="6" w:space="0" w:color="auto"/>
              <w:right w:val="outset" w:sz="6" w:space="0" w:color="auto"/>
            </w:tcBorders>
            <w:hideMark/>
          </w:tcPr>
          <w:p w14:paraId="1B59EE53"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Зазори між: витками пружини запобіжної муфти; заспокійником і нижніми проймами ланцюга привода поперечного транспортера і ущільнювальними насадками (не менше 2 мм;  5-10 мм; 1-2 мм відповідно)</w:t>
            </w:r>
          </w:p>
        </w:tc>
        <w:tc>
          <w:tcPr>
            <w:tcW w:w="2055" w:type="dxa"/>
            <w:tcBorders>
              <w:top w:val="nil"/>
              <w:left w:val="outset" w:sz="6" w:space="0" w:color="auto"/>
              <w:bottom w:val="outset" w:sz="6" w:space="0" w:color="auto"/>
              <w:right w:val="outset" w:sz="6" w:space="0" w:color="auto"/>
            </w:tcBorders>
            <w:hideMark/>
          </w:tcPr>
          <w:p w14:paraId="6418A76A"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Вимірювання: лінійка</w:t>
            </w:r>
          </w:p>
        </w:tc>
        <w:tc>
          <w:tcPr>
            <w:tcW w:w="2251" w:type="dxa"/>
            <w:tcBorders>
              <w:top w:val="nil"/>
              <w:left w:val="outset" w:sz="6" w:space="0" w:color="auto"/>
              <w:bottom w:val="outset" w:sz="6" w:space="0" w:color="auto"/>
              <w:right w:val="outset" w:sz="6" w:space="0" w:color="auto"/>
            </w:tcBorders>
            <w:hideMark/>
          </w:tcPr>
          <w:p w14:paraId="20DB6F5E"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Щомісячно</w:t>
            </w:r>
          </w:p>
        </w:tc>
      </w:tr>
      <w:tr w:rsidR="009E0CF2" w:rsidRPr="009E0CF2" w14:paraId="0DE4455B" w14:textId="77777777" w:rsidTr="009E0CF2">
        <w:trPr>
          <w:jc w:val="center"/>
        </w:trPr>
        <w:tc>
          <w:tcPr>
            <w:tcW w:w="1905" w:type="dxa"/>
            <w:tcBorders>
              <w:top w:val="nil"/>
              <w:left w:val="outset" w:sz="6" w:space="0" w:color="auto"/>
              <w:bottom w:val="outset" w:sz="6" w:space="0" w:color="auto"/>
              <w:right w:val="outset" w:sz="6" w:space="0" w:color="auto"/>
            </w:tcBorders>
            <w:hideMark/>
          </w:tcPr>
          <w:p w14:paraId="0D3AA90F"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Тягово-зчіпний пристрій</w:t>
            </w:r>
          </w:p>
        </w:tc>
        <w:tc>
          <w:tcPr>
            <w:tcW w:w="3420" w:type="dxa"/>
            <w:tcBorders>
              <w:top w:val="nil"/>
              <w:left w:val="outset" w:sz="6" w:space="0" w:color="auto"/>
              <w:bottom w:val="outset" w:sz="6" w:space="0" w:color="auto"/>
              <w:right w:val="outset" w:sz="6" w:space="0" w:color="auto"/>
            </w:tcBorders>
            <w:hideMark/>
          </w:tcPr>
          <w:p w14:paraId="1E744E09"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 xml:space="preserve">Висота сниці над ресорою (330-430 мм). Поворот </w:t>
            </w:r>
            <w:proofErr w:type="spellStart"/>
            <w:r w:rsidRPr="009E0CF2">
              <w:rPr>
                <w:rFonts w:cs="Times New Roman"/>
                <w:sz w:val="28"/>
                <w:szCs w:val="28"/>
              </w:rPr>
              <w:t>чотириланковика</w:t>
            </w:r>
            <w:proofErr w:type="spellEnd"/>
            <w:r w:rsidRPr="009E0CF2">
              <w:rPr>
                <w:rFonts w:cs="Times New Roman"/>
                <w:sz w:val="28"/>
                <w:szCs w:val="28"/>
              </w:rPr>
              <w:t xml:space="preserve"> від середнього положення (на кут 40 0)</w:t>
            </w:r>
          </w:p>
        </w:tc>
        <w:tc>
          <w:tcPr>
            <w:tcW w:w="2055" w:type="dxa"/>
            <w:tcBorders>
              <w:top w:val="nil"/>
              <w:left w:val="outset" w:sz="6" w:space="0" w:color="auto"/>
              <w:bottom w:val="outset" w:sz="6" w:space="0" w:color="auto"/>
              <w:right w:val="outset" w:sz="6" w:space="0" w:color="auto"/>
            </w:tcBorders>
            <w:hideMark/>
          </w:tcPr>
          <w:p w14:paraId="6EE281D7" w14:textId="148F27F5"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Вимірювання: лінійка – кутомір.</w:t>
            </w:r>
          </w:p>
          <w:p w14:paraId="029BF564"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Зовнішній огляд</w:t>
            </w:r>
          </w:p>
        </w:tc>
        <w:tc>
          <w:tcPr>
            <w:tcW w:w="2251" w:type="dxa"/>
            <w:tcBorders>
              <w:top w:val="nil"/>
              <w:left w:val="outset" w:sz="6" w:space="0" w:color="auto"/>
              <w:bottom w:val="outset" w:sz="6" w:space="0" w:color="auto"/>
              <w:right w:val="outset" w:sz="6" w:space="0" w:color="auto"/>
            </w:tcBorders>
            <w:hideMark/>
          </w:tcPr>
          <w:p w14:paraId="3421C08A"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 xml:space="preserve">Щомісячно. </w:t>
            </w:r>
            <w:proofErr w:type="spellStart"/>
            <w:r w:rsidRPr="009E0CF2">
              <w:rPr>
                <w:rFonts w:cs="Times New Roman"/>
                <w:sz w:val="28"/>
                <w:szCs w:val="28"/>
              </w:rPr>
              <w:t>Щозмінно</w:t>
            </w:r>
            <w:proofErr w:type="spellEnd"/>
          </w:p>
        </w:tc>
      </w:tr>
      <w:tr w:rsidR="009E0CF2" w:rsidRPr="009E0CF2" w14:paraId="0FB29315" w14:textId="77777777" w:rsidTr="009E0CF2">
        <w:trPr>
          <w:jc w:val="center"/>
        </w:trPr>
        <w:tc>
          <w:tcPr>
            <w:tcW w:w="1905" w:type="dxa"/>
            <w:tcBorders>
              <w:top w:val="nil"/>
              <w:left w:val="outset" w:sz="6" w:space="0" w:color="auto"/>
              <w:bottom w:val="outset" w:sz="6" w:space="0" w:color="auto"/>
              <w:right w:val="outset" w:sz="6" w:space="0" w:color="auto"/>
            </w:tcBorders>
            <w:hideMark/>
          </w:tcPr>
          <w:p w14:paraId="094568A9"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Стоянкове гальмо</w:t>
            </w:r>
          </w:p>
        </w:tc>
        <w:tc>
          <w:tcPr>
            <w:tcW w:w="3420" w:type="dxa"/>
            <w:tcBorders>
              <w:top w:val="nil"/>
              <w:left w:val="outset" w:sz="6" w:space="0" w:color="auto"/>
              <w:bottom w:val="outset" w:sz="6" w:space="0" w:color="auto"/>
              <w:right w:val="outset" w:sz="6" w:space="0" w:color="auto"/>
            </w:tcBorders>
            <w:hideMark/>
          </w:tcPr>
          <w:p w14:paraId="46CCE280"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Справність робочого і стоянкового гальм; вільний хід гальма (20-30 мм)</w:t>
            </w:r>
          </w:p>
        </w:tc>
        <w:tc>
          <w:tcPr>
            <w:tcW w:w="2055" w:type="dxa"/>
            <w:tcBorders>
              <w:top w:val="nil"/>
              <w:left w:val="outset" w:sz="6" w:space="0" w:color="auto"/>
              <w:bottom w:val="outset" w:sz="6" w:space="0" w:color="auto"/>
              <w:right w:val="outset" w:sz="6" w:space="0" w:color="auto"/>
            </w:tcBorders>
            <w:hideMark/>
          </w:tcPr>
          <w:p w14:paraId="3D1A30CD"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Випробування. Вимірювання: лінійка.</w:t>
            </w:r>
          </w:p>
        </w:tc>
        <w:tc>
          <w:tcPr>
            <w:tcW w:w="2251" w:type="dxa"/>
            <w:tcBorders>
              <w:top w:val="nil"/>
              <w:left w:val="outset" w:sz="6" w:space="0" w:color="auto"/>
              <w:bottom w:val="outset" w:sz="6" w:space="0" w:color="auto"/>
              <w:right w:val="outset" w:sz="6" w:space="0" w:color="auto"/>
            </w:tcBorders>
            <w:hideMark/>
          </w:tcPr>
          <w:p w14:paraId="30CEFC52"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 xml:space="preserve">Щомісячно. </w:t>
            </w:r>
            <w:proofErr w:type="spellStart"/>
            <w:r w:rsidRPr="009E0CF2">
              <w:rPr>
                <w:rFonts w:cs="Times New Roman"/>
                <w:sz w:val="28"/>
                <w:szCs w:val="28"/>
              </w:rPr>
              <w:t>Щозмінно</w:t>
            </w:r>
            <w:proofErr w:type="spellEnd"/>
          </w:p>
        </w:tc>
      </w:tr>
      <w:tr w:rsidR="009E0CF2" w:rsidRPr="009E0CF2" w14:paraId="1EFF35B4" w14:textId="77777777" w:rsidTr="009E0CF2">
        <w:trPr>
          <w:jc w:val="center"/>
        </w:trPr>
        <w:tc>
          <w:tcPr>
            <w:tcW w:w="1905" w:type="dxa"/>
            <w:tcBorders>
              <w:top w:val="nil"/>
              <w:left w:val="outset" w:sz="6" w:space="0" w:color="auto"/>
              <w:bottom w:val="outset" w:sz="6" w:space="0" w:color="auto"/>
              <w:right w:val="outset" w:sz="6" w:space="0" w:color="auto"/>
            </w:tcBorders>
            <w:hideMark/>
          </w:tcPr>
          <w:p w14:paraId="50C1566F"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Ходова частина</w:t>
            </w:r>
          </w:p>
        </w:tc>
        <w:tc>
          <w:tcPr>
            <w:tcW w:w="3420" w:type="dxa"/>
            <w:tcBorders>
              <w:top w:val="nil"/>
              <w:left w:val="outset" w:sz="6" w:space="0" w:color="auto"/>
              <w:bottom w:val="outset" w:sz="6" w:space="0" w:color="auto"/>
              <w:right w:val="outset" w:sz="6" w:space="0" w:color="auto"/>
            </w:tcBorders>
            <w:hideMark/>
          </w:tcPr>
          <w:p w14:paraId="241DB6F1"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Сходження передніх коліс (1,5-3 мм). Стан покришок і тиск у шинах (0,3-0,35 МПА)</w:t>
            </w:r>
          </w:p>
        </w:tc>
        <w:tc>
          <w:tcPr>
            <w:tcW w:w="2055" w:type="dxa"/>
            <w:tcBorders>
              <w:top w:val="nil"/>
              <w:left w:val="outset" w:sz="6" w:space="0" w:color="auto"/>
              <w:bottom w:val="outset" w:sz="6" w:space="0" w:color="auto"/>
              <w:right w:val="outset" w:sz="6" w:space="0" w:color="auto"/>
            </w:tcBorders>
            <w:hideMark/>
          </w:tcPr>
          <w:p w14:paraId="2300147E"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Вимірювання: лінійка. Зовнішній огляд</w:t>
            </w:r>
          </w:p>
        </w:tc>
        <w:tc>
          <w:tcPr>
            <w:tcW w:w="2251" w:type="dxa"/>
            <w:tcBorders>
              <w:top w:val="nil"/>
              <w:left w:val="outset" w:sz="6" w:space="0" w:color="auto"/>
              <w:bottom w:val="outset" w:sz="6" w:space="0" w:color="auto"/>
              <w:right w:val="outset" w:sz="6" w:space="0" w:color="auto"/>
            </w:tcBorders>
            <w:hideMark/>
          </w:tcPr>
          <w:p w14:paraId="551EF08D"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Щомісячно</w:t>
            </w:r>
          </w:p>
        </w:tc>
      </w:tr>
      <w:tr w:rsidR="009E0CF2" w:rsidRPr="009E0CF2" w14:paraId="70CFAF87" w14:textId="77777777" w:rsidTr="009E0CF2">
        <w:trPr>
          <w:jc w:val="center"/>
        </w:trPr>
        <w:tc>
          <w:tcPr>
            <w:tcW w:w="1905" w:type="dxa"/>
            <w:tcBorders>
              <w:top w:val="nil"/>
              <w:left w:val="outset" w:sz="6" w:space="0" w:color="auto"/>
              <w:bottom w:val="outset" w:sz="6" w:space="0" w:color="auto"/>
              <w:right w:val="outset" w:sz="6" w:space="0" w:color="auto"/>
            </w:tcBorders>
            <w:hideMark/>
          </w:tcPr>
          <w:p w14:paraId="3FBC041F" w14:textId="77777777" w:rsidR="009E0CF2" w:rsidRPr="009E0CF2" w:rsidRDefault="009E0CF2" w:rsidP="009E0CF2">
            <w:pPr>
              <w:spacing w:line="276" w:lineRule="auto"/>
              <w:ind w:firstLine="0"/>
              <w:jc w:val="center"/>
              <w:rPr>
                <w:rFonts w:cs="Times New Roman"/>
                <w:sz w:val="28"/>
                <w:szCs w:val="28"/>
              </w:rPr>
            </w:pPr>
            <w:proofErr w:type="spellStart"/>
            <w:r w:rsidRPr="009E0CF2">
              <w:rPr>
                <w:rFonts w:cs="Times New Roman"/>
                <w:sz w:val="28"/>
                <w:szCs w:val="28"/>
              </w:rPr>
              <w:t>Електро</w:t>
            </w:r>
            <w:proofErr w:type="spellEnd"/>
            <w:r w:rsidRPr="009E0CF2">
              <w:rPr>
                <w:rFonts w:cs="Times New Roman"/>
                <w:sz w:val="28"/>
                <w:szCs w:val="28"/>
              </w:rPr>
              <w:t>-обладнання</w:t>
            </w:r>
          </w:p>
        </w:tc>
        <w:tc>
          <w:tcPr>
            <w:tcW w:w="3420" w:type="dxa"/>
            <w:tcBorders>
              <w:top w:val="nil"/>
              <w:left w:val="outset" w:sz="6" w:space="0" w:color="auto"/>
              <w:bottom w:val="outset" w:sz="6" w:space="0" w:color="auto"/>
              <w:right w:val="outset" w:sz="6" w:space="0" w:color="auto"/>
            </w:tcBorders>
            <w:hideMark/>
          </w:tcPr>
          <w:p w14:paraId="2AF6E8E9"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Контактні з’єднання; ізоляція. Система сигналізації.</w:t>
            </w:r>
          </w:p>
        </w:tc>
        <w:tc>
          <w:tcPr>
            <w:tcW w:w="2055" w:type="dxa"/>
            <w:tcBorders>
              <w:top w:val="nil"/>
              <w:left w:val="outset" w:sz="6" w:space="0" w:color="auto"/>
              <w:bottom w:val="outset" w:sz="6" w:space="0" w:color="auto"/>
              <w:right w:val="outset" w:sz="6" w:space="0" w:color="auto"/>
            </w:tcBorders>
            <w:hideMark/>
          </w:tcPr>
          <w:p w14:paraId="5D520FB4" w14:textId="77777777" w:rsidR="009E0CF2" w:rsidRPr="009E0CF2" w:rsidRDefault="009E0CF2" w:rsidP="009E0CF2">
            <w:pPr>
              <w:spacing w:line="276" w:lineRule="auto"/>
              <w:ind w:firstLine="0"/>
              <w:jc w:val="center"/>
              <w:rPr>
                <w:rFonts w:cs="Times New Roman"/>
                <w:sz w:val="28"/>
                <w:szCs w:val="28"/>
              </w:rPr>
            </w:pPr>
            <w:r w:rsidRPr="009E0CF2">
              <w:rPr>
                <w:rFonts w:cs="Times New Roman"/>
                <w:sz w:val="28"/>
                <w:szCs w:val="28"/>
              </w:rPr>
              <w:t>Зовнішній огляд. Випробування. Тестер</w:t>
            </w:r>
          </w:p>
        </w:tc>
        <w:tc>
          <w:tcPr>
            <w:tcW w:w="2251" w:type="dxa"/>
            <w:tcBorders>
              <w:top w:val="nil"/>
              <w:left w:val="outset" w:sz="6" w:space="0" w:color="auto"/>
              <w:bottom w:val="outset" w:sz="6" w:space="0" w:color="auto"/>
              <w:right w:val="outset" w:sz="6" w:space="0" w:color="auto"/>
            </w:tcBorders>
            <w:hideMark/>
          </w:tcPr>
          <w:p w14:paraId="30315D29" w14:textId="77777777" w:rsidR="009E0CF2" w:rsidRPr="009E0CF2" w:rsidRDefault="009E0CF2" w:rsidP="009E0CF2">
            <w:pPr>
              <w:spacing w:line="276" w:lineRule="auto"/>
              <w:ind w:firstLine="0"/>
              <w:jc w:val="center"/>
              <w:rPr>
                <w:rFonts w:cs="Times New Roman"/>
                <w:sz w:val="28"/>
                <w:szCs w:val="28"/>
              </w:rPr>
            </w:pPr>
            <w:proofErr w:type="spellStart"/>
            <w:r w:rsidRPr="009E0CF2">
              <w:rPr>
                <w:rFonts w:cs="Times New Roman"/>
                <w:sz w:val="28"/>
                <w:szCs w:val="28"/>
              </w:rPr>
              <w:t>Щозмінно</w:t>
            </w:r>
            <w:proofErr w:type="spellEnd"/>
            <w:r w:rsidRPr="009E0CF2">
              <w:rPr>
                <w:rFonts w:cs="Times New Roman"/>
                <w:sz w:val="28"/>
                <w:szCs w:val="28"/>
              </w:rPr>
              <w:t xml:space="preserve">. </w:t>
            </w:r>
            <w:proofErr w:type="spellStart"/>
            <w:r w:rsidRPr="009E0CF2">
              <w:rPr>
                <w:rFonts w:cs="Times New Roman"/>
                <w:sz w:val="28"/>
                <w:szCs w:val="28"/>
              </w:rPr>
              <w:t>Щозмінно</w:t>
            </w:r>
            <w:proofErr w:type="spellEnd"/>
          </w:p>
        </w:tc>
      </w:tr>
    </w:tbl>
    <w:p w14:paraId="6A8DD2BD"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 </w:t>
      </w:r>
    </w:p>
    <w:p w14:paraId="5DDA90DF"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Стаціонарні механізовані кормороздавачі, розташовані всередині годівниць, повинні забезпечувати очищення годівниць від залишків кормів. Конструкція натяжного пристрою шайбового транспортера доїльних установок </w:t>
      </w:r>
      <w:r w:rsidRPr="009E0CF2">
        <w:rPr>
          <w:rFonts w:cs="Times New Roman"/>
          <w:sz w:val="28"/>
          <w:szCs w:val="28"/>
        </w:rPr>
        <w:lastRenderedPageBreak/>
        <w:t xml:space="preserve">має дозволяти його легко і вільно регулювати. Для зниження високих рівнів шуму кожух шайбового кормороздавача зсередини покривають звукопоглинальним матеріалом. </w:t>
      </w:r>
    </w:p>
    <w:p w14:paraId="24F4B0A7"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Висота розміщення завантажувальних горловин стаціонарних кормороздавачів від підлоги повинна забезпечувати стикування завантажувачів із роздавачем. Зазор між ними за висотою не повинен перевищувати 0,1 м. </w:t>
      </w:r>
    </w:p>
    <w:p w14:paraId="5A29B0E3"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Лінії роздавання кормів, які вмикають із загального пульта керування і розміщені так, що перебувають у віддаленій периферичній зоні зору працівника, а також ті, які обслуговують двоє та більше працівників, повинні бути обладнані передпусковою сигналізацією. </w:t>
      </w:r>
    </w:p>
    <w:p w14:paraId="0C73D37A"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Для зручності очищення і безпеки обслуговування трос-шайбових, шнекових, спірально-пружинних роздавачів кормів їх конструкція повинна дозволяти реверсування робочих органів у разі забивання їх технологічним матеріалом. Захисні огорожі приводних і натяжних барабанів стрічкових транспортерів мають бути зблоковані з приводом так, щоб під час їх знімання або неправильного встановлення транспортер автоматично вимикався.</w:t>
      </w:r>
    </w:p>
    <w:p w14:paraId="5284AF15"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Перед початком роботи потрібно старанно оглянути кормороздавальне обладнання, всі його вузли. Під час огляду необхідно перевірити: надійність приєднання заземлювальної шини;  справність електромережі, кнопок керування і пускача; наявність захисної огорожі на рухомих елементах стаціонарних кормороздавачів (приводних і натяжних пристроях, ланцюгових передачах, муфтах, які з’єднують електродвигун з редуктором, струмопровідних частинах електричної апаратури тощо), їх міцність і справність; наявність оливи у редукторах і каркасах підшипників; справність вузлів і механізмів кормороздавачів, кріплення з’єднань, натяг ланцюгів, стрічок транспортерів і дозувальних пристроїв.</w:t>
      </w:r>
    </w:p>
    <w:p w14:paraId="473DA892"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Якщо натяг ланцюгових передач і скребкового ланцюга </w:t>
      </w:r>
      <w:proofErr w:type="spellStart"/>
      <w:r w:rsidRPr="009E0CF2">
        <w:rPr>
          <w:rFonts w:cs="Times New Roman"/>
          <w:sz w:val="28"/>
          <w:szCs w:val="28"/>
        </w:rPr>
        <w:t>ослаблено</w:t>
      </w:r>
      <w:proofErr w:type="spellEnd"/>
      <w:r w:rsidRPr="009E0CF2">
        <w:rPr>
          <w:rFonts w:cs="Times New Roman"/>
          <w:sz w:val="28"/>
          <w:szCs w:val="28"/>
        </w:rPr>
        <w:t>, то потрібно передачу підтягнути, дотримуючись правил безпеки праці. Під час натягування ланцюгових передач необхідно стежити, щоб не перекошувався вал натяжної зірочки. Натяг ланцюга потрібно вибирати згідно з інструкцією з експлуатації кормороздавача.</w:t>
      </w:r>
    </w:p>
    <w:p w14:paraId="2378D11E"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Якщо під час огляду кормороздавачів виявлено несправності, які не можна усунути, потрібно повідомити про це керівника робіт і до їх усунення до роботи не приступати. Після огляду і підготовки транспортер прокручують вручну, а потім короткочасно запускають його на холостому ходу. У разі виявлення </w:t>
      </w:r>
      <w:proofErr w:type="spellStart"/>
      <w:r w:rsidRPr="009E0CF2">
        <w:rPr>
          <w:rFonts w:cs="Times New Roman"/>
          <w:sz w:val="28"/>
          <w:szCs w:val="28"/>
        </w:rPr>
        <w:t>несправностей</w:t>
      </w:r>
      <w:proofErr w:type="spellEnd"/>
      <w:r w:rsidRPr="009E0CF2">
        <w:rPr>
          <w:rFonts w:cs="Times New Roman"/>
          <w:sz w:val="28"/>
          <w:szCs w:val="28"/>
        </w:rPr>
        <w:t xml:space="preserve"> транспортер потрібно зупинити, усунути несправності i для контролю вдруге запустити на холостому ходу.</w:t>
      </w:r>
    </w:p>
    <w:p w14:paraId="6CFB2AD6"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t xml:space="preserve">Щоб забезпечити велику рогату худобу водою на вигульних майданчиках, використовують </w:t>
      </w:r>
      <w:proofErr w:type="spellStart"/>
      <w:r w:rsidRPr="009E0CF2">
        <w:rPr>
          <w:rFonts w:cs="Times New Roman"/>
          <w:sz w:val="28"/>
          <w:szCs w:val="28"/>
        </w:rPr>
        <w:t>водороздавальні</w:t>
      </w:r>
      <w:proofErr w:type="spellEnd"/>
      <w:r w:rsidRPr="009E0CF2">
        <w:rPr>
          <w:rFonts w:cs="Times New Roman"/>
          <w:sz w:val="28"/>
          <w:szCs w:val="28"/>
        </w:rPr>
        <w:t xml:space="preserve"> пристрої та пересувні автонапувалки. Після їх від'єднання від трактора сниці встановлюють на підставки, а під колеса підкладають підп’ятники. </w:t>
      </w:r>
    </w:p>
    <w:p w14:paraId="7AA743C2" w14:textId="77777777" w:rsidR="009E0CF2" w:rsidRPr="009E0CF2" w:rsidRDefault="009E0CF2" w:rsidP="009E0CF2">
      <w:pPr>
        <w:spacing w:line="276" w:lineRule="auto"/>
        <w:jc w:val="both"/>
        <w:rPr>
          <w:rFonts w:cs="Times New Roman"/>
          <w:sz w:val="28"/>
          <w:szCs w:val="28"/>
        </w:rPr>
      </w:pPr>
      <w:r w:rsidRPr="009E0CF2">
        <w:rPr>
          <w:rFonts w:cs="Times New Roman"/>
          <w:sz w:val="28"/>
          <w:szCs w:val="28"/>
        </w:rPr>
        <w:lastRenderedPageBreak/>
        <w:t xml:space="preserve">На колодязях, де улаштовано насоси чи пристрої для механічного піднімання води, встановлюють ляди, які знімають, якщо потрібно піднімати воду з колодязя вручну. </w:t>
      </w:r>
    </w:p>
    <w:p w14:paraId="7DDF5897" w14:textId="77777777" w:rsidR="009E0CF2" w:rsidRPr="009E0CF2" w:rsidRDefault="009E0CF2" w:rsidP="009E0CF2">
      <w:pPr>
        <w:spacing w:line="276" w:lineRule="auto"/>
        <w:ind w:firstLine="0"/>
        <w:jc w:val="center"/>
        <w:rPr>
          <w:rFonts w:cs="Times New Roman"/>
          <w:b/>
          <w:bCs/>
          <w:sz w:val="28"/>
          <w:szCs w:val="28"/>
        </w:rPr>
      </w:pPr>
      <w:r w:rsidRPr="009E0CF2">
        <w:rPr>
          <w:rFonts w:cs="Times New Roman"/>
          <w:b/>
          <w:bCs/>
          <w:sz w:val="28"/>
          <w:szCs w:val="28"/>
        </w:rPr>
        <w:t>Література:</w:t>
      </w:r>
    </w:p>
    <w:p w14:paraId="23628D5E" w14:textId="77777777" w:rsidR="009E0CF2" w:rsidRPr="009E0CF2" w:rsidRDefault="009E0CF2" w:rsidP="009E0CF2">
      <w:pPr>
        <w:numPr>
          <w:ilvl w:val="0"/>
          <w:numId w:val="4"/>
        </w:numPr>
        <w:spacing w:line="276" w:lineRule="auto"/>
        <w:ind w:left="0" w:firstLine="0"/>
        <w:jc w:val="both"/>
        <w:rPr>
          <w:rFonts w:cs="Times New Roman"/>
          <w:sz w:val="28"/>
          <w:szCs w:val="28"/>
        </w:rPr>
      </w:pPr>
      <w:proofErr w:type="spellStart"/>
      <w:r w:rsidRPr="009E0CF2">
        <w:rPr>
          <w:rFonts w:cs="Times New Roman"/>
          <w:sz w:val="28"/>
          <w:szCs w:val="28"/>
        </w:rPr>
        <w:t>Хмельовський</w:t>
      </w:r>
      <w:proofErr w:type="spellEnd"/>
      <w:r w:rsidRPr="009E0CF2">
        <w:rPr>
          <w:rFonts w:cs="Times New Roman"/>
          <w:sz w:val="28"/>
          <w:szCs w:val="28"/>
        </w:rPr>
        <w:t xml:space="preserve"> В.С., </w:t>
      </w:r>
      <w:proofErr w:type="spellStart"/>
      <w:r w:rsidRPr="009E0CF2">
        <w:rPr>
          <w:rFonts w:cs="Times New Roman"/>
          <w:sz w:val="28"/>
          <w:szCs w:val="28"/>
        </w:rPr>
        <w:t>Марчишина</w:t>
      </w:r>
      <w:proofErr w:type="spellEnd"/>
      <w:r w:rsidRPr="009E0CF2">
        <w:rPr>
          <w:rFonts w:cs="Times New Roman"/>
          <w:sz w:val="28"/>
          <w:szCs w:val="28"/>
        </w:rPr>
        <w:t xml:space="preserve"> Є.І., </w:t>
      </w:r>
      <w:proofErr w:type="spellStart"/>
      <w:r w:rsidRPr="009E0CF2">
        <w:rPr>
          <w:rFonts w:cs="Times New Roman"/>
          <w:sz w:val="28"/>
          <w:szCs w:val="28"/>
        </w:rPr>
        <w:t>Білько</w:t>
      </w:r>
      <w:proofErr w:type="spellEnd"/>
      <w:r w:rsidRPr="009E0CF2">
        <w:rPr>
          <w:rFonts w:cs="Times New Roman"/>
          <w:sz w:val="28"/>
          <w:szCs w:val="28"/>
        </w:rPr>
        <w:t xml:space="preserve"> Т.О., </w:t>
      </w:r>
      <w:proofErr w:type="spellStart"/>
      <w:r w:rsidRPr="009E0CF2">
        <w:rPr>
          <w:rFonts w:cs="Times New Roman"/>
          <w:sz w:val="28"/>
          <w:szCs w:val="28"/>
        </w:rPr>
        <w:t>Мотрич</w:t>
      </w:r>
      <w:proofErr w:type="spellEnd"/>
      <w:r w:rsidRPr="009E0CF2">
        <w:rPr>
          <w:rFonts w:cs="Times New Roman"/>
          <w:sz w:val="28"/>
          <w:szCs w:val="28"/>
        </w:rPr>
        <w:t xml:space="preserve"> М.М., </w:t>
      </w:r>
      <w:proofErr w:type="spellStart"/>
      <w:r w:rsidRPr="009E0CF2">
        <w:rPr>
          <w:rFonts w:cs="Times New Roman"/>
          <w:sz w:val="28"/>
          <w:szCs w:val="28"/>
        </w:rPr>
        <w:t>Скібчик</w:t>
      </w:r>
      <w:proofErr w:type="spellEnd"/>
      <w:r w:rsidRPr="009E0CF2">
        <w:rPr>
          <w:rFonts w:cs="Times New Roman"/>
          <w:sz w:val="28"/>
          <w:szCs w:val="28"/>
        </w:rPr>
        <w:t xml:space="preserve"> В.І. Охорона праці. К. Центр учбової літератури. 2021. 594 с.</w:t>
      </w:r>
    </w:p>
    <w:p w14:paraId="16D6179B" w14:textId="77777777" w:rsidR="009E0CF2" w:rsidRPr="009E0CF2" w:rsidRDefault="009E0CF2" w:rsidP="009E0CF2">
      <w:pPr>
        <w:numPr>
          <w:ilvl w:val="0"/>
          <w:numId w:val="4"/>
        </w:numPr>
        <w:spacing w:line="276" w:lineRule="auto"/>
        <w:ind w:left="0" w:firstLine="0"/>
        <w:jc w:val="both"/>
        <w:rPr>
          <w:rFonts w:cs="Times New Roman"/>
          <w:sz w:val="28"/>
          <w:szCs w:val="28"/>
        </w:rPr>
      </w:pPr>
      <w:proofErr w:type="spellStart"/>
      <w:r w:rsidRPr="009E0CF2">
        <w:rPr>
          <w:rFonts w:cs="Times New Roman"/>
          <w:sz w:val="28"/>
          <w:szCs w:val="28"/>
        </w:rPr>
        <w:t>Войналович</w:t>
      </w:r>
      <w:proofErr w:type="spellEnd"/>
      <w:r w:rsidRPr="009E0CF2">
        <w:rPr>
          <w:rFonts w:cs="Times New Roman"/>
          <w:sz w:val="28"/>
          <w:szCs w:val="28"/>
        </w:rPr>
        <w:t xml:space="preserve"> О.В., </w:t>
      </w:r>
      <w:proofErr w:type="spellStart"/>
      <w:r w:rsidRPr="009E0CF2">
        <w:rPr>
          <w:rFonts w:cs="Times New Roman"/>
          <w:sz w:val="28"/>
          <w:szCs w:val="28"/>
        </w:rPr>
        <w:t>Марчишина</w:t>
      </w:r>
      <w:proofErr w:type="spellEnd"/>
      <w:r w:rsidRPr="009E0CF2">
        <w:rPr>
          <w:rFonts w:cs="Times New Roman"/>
          <w:sz w:val="28"/>
          <w:szCs w:val="28"/>
        </w:rPr>
        <w:t xml:space="preserve"> Є.І. Охорона праці у сільському господарстві. K.: ЦУЛ. 2017. 691 с .</w:t>
      </w:r>
    </w:p>
    <w:p w14:paraId="2E546196" w14:textId="77777777" w:rsidR="009E0CF2" w:rsidRPr="009E0CF2" w:rsidRDefault="009E0CF2" w:rsidP="009E0CF2">
      <w:pPr>
        <w:spacing w:line="276" w:lineRule="auto"/>
        <w:jc w:val="both"/>
        <w:rPr>
          <w:rFonts w:cs="Times New Roman"/>
          <w:sz w:val="28"/>
          <w:szCs w:val="28"/>
        </w:rPr>
      </w:pPr>
    </w:p>
    <w:sectPr w:rsidR="009E0CF2" w:rsidRPr="009E0CF2"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50C573B"/>
    <w:multiLevelType w:val="multilevel"/>
    <w:tmpl w:val="350C573B"/>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B2960"/>
    <w:rsid w:val="000C0A4D"/>
    <w:rsid w:val="00241324"/>
    <w:rsid w:val="002D20E7"/>
    <w:rsid w:val="00355DDC"/>
    <w:rsid w:val="0047552B"/>
    <w:rsid w:val="004B7CB2"/>
    <w:rsid w:val="00526559"/>
    <w:rsid w:val="005460FC"/>
    <w:rsid w:val="005535D1"/>
    <w:rsid w:val="00557BD1"/>
    <w:rsid w:val="00576FA5"/>
    <w:rsid w:val="005D433B"/>
    <w:rsid w:val="0063782D"/>
    <w:rsid w:val="0066558B"/>
    <w:rsid w:val="00700658"/>
    <w:rsid w:val="00703DCD"/>
    <w:rsid w:val="00750106"/>
    <w:rsid w:val="00901A47"/>
    <w:rsid w:val="00995A9E"/>
    <w:rsid w:val="009E0CF2"/>
    <w:rsid w:val="009E358D"/>
    <w:rsid w:val="00A115F0"/>
    <w:rsid w:val="00A13566"/>
    <w:rsid w:val="00A212EA"/>
    <w:rsid w:val="00A33FA7"/>
    <w:rsid w:val="00A51FAD"/>
    <w:rsid w:val="00B12080"/>
    <w:rsid w:val="00B96674"/>
    <w:rsid w:val="00BE1822"/>
    <w:rsid w:val="00BF36F6"/>
    <w:rsid w:val="00CF6875"/>
    <w:rsid w:val="00D072F7"/>
    <w:rsid w:val="00D60A92"/>
    <w:rsid w:val="00E95B21"/>
    <w:rsid w:val="00EC5F48"/>
    <w:rsid w:val="00F01F20"/>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table" w:styleId="a7">
    <w:name w:val="Table Grid"/>
    <w:basedOn w:val="a1"/>
    <w:uiPriority w:val="39"/>
    <w:rsid w:val="000B2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7645</Words>
  <Characters>4359</Characters>
  <Application>Microsoft Office Word</Application>
  <DocSecurity>0</DocSecurity>
  <Lines>36</Lines>
  <Paragraphs>23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11981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2</cp:revision>
  <dcterms:created xsi:type="dcterms:W3CDTF">2025-10-23T17:05:00Z</dcterms:created>
  <dcterms:modified xsi:type="dcterms:W3CDTF">2025-10-23T17:05:00Z</dcterms:modified>
</cp:coreProperties>
</file>