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056BC1C9" w:rsidR="00995A9E" w:rsidRPr="006841A8" w:rsidRDefault="00995A9E" w:rsidP="0029662B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29662B" w:rsidRPr="0029662B">
        <w:rPr>
          <w:sz w:val="28"/>
          <w:szCs w:val="28"/>
        </w:rPr>
        <w:t>631:878:631.811</w:t>
      </w:r>
    </w:p>
    <w:p w14:paraId="102E8AD0" w14:textId="77777777" w:rsidR="00700658" w:rsidRPr="006841A8" w:rsidRDefault="00700658" w:rsidP="0029662B">
      <w:pPr>
        <w:spacing w:line="276" w:lineRule="auto"/>
        <w:ind w:firstLine="0"/>
        <w:rPr>
          <w:sz w:val="28"/>
          <w:szCs w:val="28"/>
        </w:rPr>
      </w:pPr>
    </w:p>
    <w:p w14:paraId="648FFEA3" w14:textId="6197B232" w:rsidR="00D072F7" w:rsidRPr="006841A8" w:rsidRDefault="0029662B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29662B">
        <w:rPr>
          <w:b/>
          <w:caps/>
          <w:sz w:val="28"/>
          <w:szCs w:val="28"/>
        </w:rPr>
        <w:t>НОВІ ПІДХОДИ ДО ВИРОБНИЦТВА ГРАНУЛЬОВАНИХ ОРГАНО-МІНЕРАЛЬНИХ ДОБРИВ НА ОСНОВІ ВІДХОДІВ ТВАРИННИЦТВА</w:t>
      </w:r>
    </w:p>
    <w:p w14:paraId="0328B272" w14:textId="77777777" w:rsidR="00995A9E" w:rsidRPr="006841A8" w:rsidRDefault="00995A9E" w:rsidP="0029662B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3A61CB99" w14:textId="1BCFFF7F" w:rsidR="0029662B" w:rsidRPr="007F26B7" w:rsidRDefault="0029662B" w:rsidP="0029662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Скляр О.Г., </w:t>
      </w:r>
      <w:proofErr w:type="spellStart"/>
      <w:r w:rsidRPr="0029662B">
        <w:rPr>
          <w:rFonts w:cs="Times New Roman"/>
          <w:sz w:val="28"/>
          <w:szCs w:val="28"/>
        </w:rPr>
        <w:t>к.т.н</w:t>
      </w:r>
      <w:proofErr w:type="spellEnd"/>
      <w:r w:rsidRPr="0029662B">
        <w:rPr>
          <w:rFonts w:cs="Times New Roman"/>
          <w:sz w:val="28"/>
          <w:szCs w:val="28"/>
        </w:rPr>
        <w:t>.;</w:t>
      </w:r>
      <w:r>
        <w:rPr>
          <w:rFonts w:cs="Times New Roman"/>
          <w:b/>
          <w:bCs/>
          <w:sz w:val="28"/>
          <w:szCs w:val="28"/>
        </w:rPr>
        <w:t xml:space="preserve"> Скляр Р.В., </w:t>
      </w:r>
      <w:proofErr w:type="spellStart"/>
      <w:r w:rsidRPr="0029662B">
        <w:rPr>
          <w:rFonts w:cs="Times New Roman"/>
          <w:sz w:val="28"/>
          <w:szCs w:val="28"/>
        </w:rPr>
        <w:t>к.т.н</w:t>
      </w:r>
      <w:proofErr w:type="spellEnd"/>
      <w:r w:rsidRPr="0029662B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  <w:lang w:val="en-US"/>
        </w:rPr>
        <w:t>,</w:t>
      </w:r>
      <w:r w:rsidRPr="0029662B">
        <w:rPr>
          <w:rFonts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cs="Times New Roman"/>
          <w:sz w:val="28"/>
          <w:szCs w:val="28"/>
          <w:lang w:val="en-US"/>
        </w:rPr>
        <w:t>radmila</w:t>
      </w:r>
      <w:proofErr w:type="spellEnd"/>
      <w:r w:rsidRPr="007F26B7">
        <w:rPr>
          <w:rFonts w:cs="Times New Roman"/>
          <w:sz w:val="28"/>
          <w:szCs w:val="28"/>
        </w:rPr>
        <w:t>.</w:t>
      </w:r>
      <w:proofErr w:type="spellStart"/>
      <w:r>
        <w:rPr>
          <w:rFonts w:cs="Times New Roman"/>
          <w:sz w:val="28"/>
          <w:szCs w:val="28"/>
          <w:lang w:val="en-US"/>
        </w:rPr>
        <w:t>skliar</w:t>
      </w:r>
      <w:proofErr w:type="spellEnd"/>
      <w:r w:rsidRPr="007F26B7">
        <w:rPr>
          <w:rFonts w:cs="Times New Roman"/>
          <w:sz w:val="28"/>
          <w:szCs w:val="28"/>
        </w:rPr>
        <w:t>@</w:t>
      </w:r>
      <w:proofErr w:type="spellStart"/>
      <w:r>
        <w:rPr>
          <w:rFonts w:cs="Times New Roman"/>
          <w:sz w:val="28"/>
          <w:szCs w:val="28"/>
          <w:lang w:val="en-US"/>
        </w:rPr>
        <w:t>tsatu</w:t>
      </w:r>
      <w:proofErr w:type="spellEnd"/>
      <w:r w:rsidRPr="007F26B7">
        <w:rPr>
          <w:rFonts w:cs="Times New Roman"/>
          <w:sz w:val="28"/>
          <w:szCs w:val="28"/>
        </w:rPr>
        <w:t>.</w:t>
      </w:r>
      <w:proofErr w:type="spellStart"/>
      <w:r>
        <w:rPr>
          <w:rFonts w:cs="Times New Roman"/>
          <w:sz w:val="28"/>
          <w:szCs w:val="28"/>
          <w:lang w:val="en-US"/>
        </w:rPr>
        <w:t>edu</w:t>
      </w:r>
      <w:proofErr w:type="spellEnd"/>
      <w:r w:rsidRPr="007F26B7">
        <w:rPr>
          <w:rFonts w:cs="Times New Roman"/>
          <w:sz w:val="28"/>
          <w:szCs w:val="28"/>
        </w:rPr>
        <w:t>.</w:t>
      </w:r>
      <w:proofErr w:type="spellStart"/>
      <w:r>
        <w:rPr>
          <w:rFonts w:cs="Times New Roman"/>
          <w:sz w:val="28"/>
          <w:szCs w:val="28"/>
          <w:lang w:val="en-US"/>
        </w:rPr>
        <w:t>ua</w:t>
      </w:r>
      <w:proofErr w:type="spellEnd"/>
    </w:p>
    <w:p w14:paraId="5A49A2F3" w14:textId="77777777" w:rsidR="0029662B" w:rsidRPr="007F26B7" w:rsidRDefault="0029662B" w:rsidP="0029662B">
      <w:pPr>
        <w:spacing w:line="276" w:lineRule="auto"/>
        <w:ind w:firstLine="0"/>
        <w:jc w:val="center"/>
        <w:rPr>
          <w:rFonts w:cs="Times New Roman"/>
          <w:i/>
          <w:iCs/>
          <w:sz w:val="28"/>
          <w:szCs w:val="28"/>
        </w:rPr>
      </w:pPr>
      <w:r w:rsidRPr="007F26B7">
        <w:rPr>
          <w:rFonts w:cs="Times New Roman"/>
          <w:i/>
          <w:iCs/>
          <w:sz w:val="28"/>
          <w:szCs w:val="28"/>
        </w:rPr>
        <w:t xml:space="preserve">Таврійський державний агротехнологічний університет імені Дмитра Моторного </w:t>
      </w:r>
    </w:p>
    <w:p w14:paraId="6C75590E" w14:textId="77777777" w:rsidR="00995A9E" w:rsidRPr="006841A8" w:rsidRDefault="00995A9E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5889C8AF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Світова тенденція до органічного землеробства та циркулярної економіки вимагає від агропромислового комплексу України перегляду підходів до використання ресурсів та управління відходами </w:t>
      </w:r>
      <w:r w:rsidRPr="0029662B">
        <w:rPr>
          <w:rFonts w:cs="Times New Roman"/>
          <w:sz w:val="28"/>
          <w:szCs w:val="28"/>
          <w:lang w:val="ru-RU"/>
        </w:rPr>
        <w:t>[</w:t>
      </w:r>
      <w:r w:rsidRPr="0029662B">
        <w:rPr>
          <w:rFonts w:cs="Times New Roman"/>
          <w:sz w:val="28"/>
          <w:szCs w:val="28"/>
        </w:rPr>
        <w:t>1]. Застосування хімічно синтезованих мінеральних добрив та пестицидів викликає занепокоєння щодо якості ґрунтів та екологічності харчової продукції. У зв'язку з цим, критично важливим стає пошук та впровадження нових типів добрив, які поєднують високу ефективність з екологічною безпекою.</w:t>
      </w:r>
    </w:p>
    <w:p w14:paraId="38E4BD5D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На особливу увагу заслуговує розробка органо-мінеральних добрив пролонгованої дії (ОМД). Ці добрива формуються із збалансованого співвідношення органічного матеріалу, природних мінералів та біологічно активних </w:t>
      </w:r>
      <w:proofErr w:type="spellStart"/>
      <w:r w:rsidRPr="0029662B">
        <w:rPr>
          <w:rFonts w:cs="Times New Roman"/>
          <w:sz w:val="28"/>
          <w:szCs w:val="28"/>
        </w:rPr>
        <w:t>сполук</w:t>
      </w:r>
      <w:proofErr w:type="spellEnd"/>
      <w:r w:rsidRPr="0029662B">
        <w:rPr>
          <w:rFonts w:cs="Times New Roman"/>
          <w:sz w:val="28"/>
          <w:szCs w:val="28"/>
        </w:rPr>
        <w:t>, забезпечуючи рослини необхідними поживними речовинами протягом усього вегетаційного періоду [2].</w:t>
      </w:r>
    </w:p>
    <w:p w14:paraId="3A415FD1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В основі технології лежить принцип замкненого циклу та комплексної енергетичної рекуперації</w:t>
      </w:r>
      <w:r w:rsidRPr="0029662B">
        <w:rPr>
          <w:rFonts w:cs="Times New Roman"/>
          <w:sz w:val="28"/>
          <w:szCs w:val="28"/>
          <w:lang w:val="ru-RU"/>
        </w:rPr>
        <w:t xml:space="preserve"> [3,4</w:t>
      </w:r>
      <w:r w:rsidRPr="0029662B">
        <w:rPr>
          <w:rFonts w:cs="Times New Roman"/>
          <w:sz w:val="28"/>
          <w:szCs w:val="28"/>
        </w:rPr>
        <w:t>]:</w:t>
      </w:r>
    </w:p>
    <w:p w14:paraId="7905B641" w14:textId="77777777" w:rsidR="0029662B" w:rsidRPr="0029662B" w:rsidRDefault="0029662B" w:rsidP="0029662B">
      <w:pPr>
        <w:numPr>
          <w:ilvl w:val="0"/>
          <w:numId w:val="10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Біологічна переробка: рідкі органічні відходи піддаються анаеробній ферментації у </w:t>
      </w:r>
      <w:proofErr w:type="spellStart"/>
      <w:r w:rsidRPr="0029662B">
        <w:rPr>
          <w:rFonts w:cs="Times New Roman"/>
          <w:sz w:val="28"/>
          <w:szCs w:val="28"/>
        </w:rPr>
        <w:t>біогазовому</w:t>
      </w:r>
      <w:proofErr w:type="spellEnd"/>
      <w:r w:rsidRPr="0029662B">
        <w:rPr>
          <w:rFonts w:cs="Times New Roman"/>
          <w:sz w:val="28"/>
          <w:szCs w:val="28"/>
        </w:rPr>
        <w:t xml:space="preserve"> реакторі. </w:t>
      </w:r>
    </w:p>
    <w:p w14:paraId="6B2DD9F1" w14:textId="77777777" w:rsidR="0029662B" w:rsidRPr="0029662B" w:rsidRDefault="0029662B" w:rsidP="0029662B">
      <w:pPr>
        <w:numPr>
          <w:ilvl w:val="0"/>
          <w:numId w:val="10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Генерація енергії: у процесі ферментації виробляється біогаз. Це є ключовим енергозберігаючим аспектом, оскільки отриманий біогаз використовується як паливо для термічних процесів, зокрема для сушіння та гранулювання.</w:t>
      </w:r>
    </w:p>
    <w:p w14:paraId="590ED5FB" w14:textId="77777777" w:rsidR="0029662B" w:rsidRPr="0029662B" w:rsidRDefault="0029662B" w:rsidP="0029662B">
      <w:pPr>
        <w:numPr>
          <w:ilvl w:val="0"/>
          <w:numId w:val="10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Формування ОМД: після реактора органічна маса поєднується з дозованими мінеральними компонентами у збірнику пульпи для забезпечення заданого співвідношення поживних речовин (NPK) відповідно до потреб конкретної культури та ґрунту. </w:t>
      </w:r>
    </w:p>
    <w:p w14:paraId="2933D986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Запропонована схема є енергозберігаючою завдяки багаторівневій утилізації тепла відпрацьованих газів [4,5]: </w:t>
      </w:r>
    </w:p>
    <w:p w14:paraId="452CAD44" w14:textId="77777777" w:rsidR="0029662B" w:rsidRPr="0029662B" w:rsidRDefault="0029662B" w:rsidP="0029662B">
      <w:pPr>
        <w:numPr>
          <w:ilvl w:val="0"/>
          <w:numId w:val="11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самозабезпечення теплом: біогаз, що виробляється, забезпечує теплом термічний блок та обігрів </w:t>
      </w:r>
      <w:proofErr w:type="spellStart"/>
      <w:r w:rsidRPr="0029662B">
        <w:rPr>
          <w:rFonts w:cs="Times New Roman"/>
          <w:sz w:val="28"/>
          <w:szCs w:val="28"/>
        </w:rPr>
        <w:t>біогазового</w:t>
      </w:r>
      <w:proofErr w:type="spellEnd"/>
      <w:r w:rsidRPr="0029662B">
        <w:rPr>
          <w:rFonts w:cs="Times New Roman"/>
          <w:sz w:val="28"/>
          <w:szCs w:val="28"/>
        </w:rPr>
        <w:t xml:space="preserve"> реактора через рекуператор.</w:t>
      </w:r>
    </w:p>
    <w:p w14:paraId="5DFFDD66" w14:textId="77777777" w:rsidR="0029662B" w:rsidRPr="0029662B" w:rsidRDefault="0029662B" w:rsidP="0029662B">
      <w:pPr>
        <w:numPr>
          <w:ilvl w:val="0"/>
          <w:numId w:val="11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рекуперація вихлопних газів:</w:t>
      </w:r>
    </w:p>
    <w:p w14:paraId="3BDD67C6" w14:textId="77777777" w:rsidR="0029662B" w:rsidRPr="0029662B" w:rsidRDefault="0029662B" w:rsidP="0029662B">
      <w:pPr>
        <w:numPr>
          <w:ilvl w:val="1"/>
          <w:numId w:val="14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вихлопні гази після термічного очищення попередньо нагрівають чисте атмосферне повітря у теплообміннику, яке подається у гранулятор для сушіння;</w:t>
      </w:r>
    </w:p>
    <w:p w14:paraId="37E2E8FA" w14:textId="77777777" w:rsidR="0029662B" w:rsidRPr="0029662B" w:rsidRDefault="0029662B" w:rsidP="0029662B">
      <w:pPr>
        <w:numPr>
          <w:ilvl w:val="1"/>
          <w:numId w:val="15"/>
        </w:numPr>
        <w:tabs>
          <w:tab w:val="clear" w:pos="1440"/>
          <w:tab w:val="num" w:pos="1418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lastRenderedPageBreak/>
        <w:t xml:space="preserve">залишкова теплота газів утилізується в рекуператорі для нагрівання води, яка використовується для обігріву </w:t>
      </w:r>
      <w:proofErr w:type="spellStart"/>
      <w:r w:rsidRPr="0029662B">
        <w:rPr>
          <w:rFonts w:cs="Times New Roman"/>
          <w:sz w:val="28"/>
          <w:szCs w:val="28"/>
        </w:rPr>
        <w:t>біореактора</w:t>
      </w:r>
      <w:proofErr w:type="spellEnd"/>
      <w:r w:rsidRPr="0029662B">
        <w:rPr>
          <w:rFonts w:cs="Times New Roman"/>
          <w:sz w:val="28"/>
          <w:szCs w:val="28"/>
        </w:rPr>
        <w:t xml:space="preserve"> та потреб ферми;</w:t>
      </w:r>
    </w:p>
    <w:p w14:paraId="171094B1" w14:textId="77777777" w:rsidR="0029662B" w:rsidRPr="0029662B" w:rsidRDefault="0029662B" w:rsidP="0029662B">
      <w:pPr>
        <w:numPr>
          <w:ilvl w:val="1"/>
          <w:numId w:val="15"/>
        </w:numPr>
        <w:tabs>
          <w:tab w:val="clear" w:pos="1440"/>
          <w:tab w:val="num" w:pos="1418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практичний висновок: завдяки цій схемі, до 70% теплової енергії, що використовується для сушіння та очищення, повертається у процес або йде на потреби комплексу, що знижує залежність від зовнішніх енергоносіїв. </w:t>
      </w:r>
    </w:p>
    <w:p w14:paraId="722503EB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Головною перевагою є повне вирішення проблеми утилізації рідких відходів та мінімізація шкідливих викидів:</w:t>
      </w:r>
    </w:p>
    <w:p w14:paraId="1114425D" w14:textId="77777777" w:rsidR="0029662B" w:rsidRPr="0029662B" w:rsidRDefault="0029662B" w:rsidP="0029662B">
      <w:pPr>
        <w:numPr>
          <w:ilvl w:val="0"/>
          <w:numId w:val="12"/>
        </w:numPr>
        <w:tabs>
          <w:tab w:val="clear" w:pos="720"/>
          <w:tab w:val="num" w:pos="360"/>
        </w:tabs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технологічні потоки є замкненими, що забезпечує повну відсутність скидання рідких стоків у навколишнє середовище;</w:t>
      </w:r>
    </w:p>
    <w:p w14:paraId="5142A427" w14:textId="77777777" w:rsidR="0029662B" w:rsidRPr="0029662B" w:rsidRDefault="0029662B" w:rsidP="0029662B">
      <w:pPr>
        <w:numPr>
          <w:ilvl w:val="1"/>
          <w:numId w:val="12"/>
        </w:numPr>
        <w:tabs>
          <w:tab w:val="clear" w:pos="1440"/>
        </w:tabs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термічне очищення вихлопних газів: відпрацьоване повітря після сушіння проходить двоступеневе очищення: механічне очищення від пилу у циклоні та термічне очищення у печі при температурі не нижче 700</w:t>
      </w:r>
      <w:r w:rsidRPr="0029662B">
        <w:rPr>
          <w:rFonts w:cs="Times New Roman"/>
          <w:sz w:val="28"/>
          <w:szCs w:val="28"/>
          <w:vertAlign w:val="superscript"/>
        </w:rPr>
        <w:t>0</w:t>
      </w:r>
      <w:r w:rsidRPr="0029662B">
        <w:rPr>
          <w:rFonts w:cs="Times New Roman"/>
          <w:sz w:val="28"/>
          <w:szCs w:val="28"/>
        </w:rPr>
        <w:t>C.</w:t>
      </w:r>
    </w:p>
    <w:p w14:paraId="04A0591E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Це забезпечує деструкцію небезпечних і шкідливих речовин та неприємних запахів, включаючи аміак, сірководень, </w:t>
      </w:r>
      <w:proofErr w:type="spellStart"/>
      <w:r w:rsidRPr="0029662B">
        <w:rPr>
          <w:rFonts w:cs="Times New Roman"/>
          <w:sz w:val="28"/>
          <w:szCs w:val="28"/>
        </w:rPr>
        <w:t>меркаптани</w:t>
      </w:r>
      <w:proofErr w:type="spellEnd"/>
      <w:r w:rsidRPr="0029662B">
        <w:rPr>
          <w:rFonts w:cs="Times New Roman"/>
          <w:sz w:val="28"/>
          <w:szCs w:val="28"/>
        </w:rPr>
        <w:t xml:space="preserve"> та оксиди вуглецю, які є типовими забруднювачами на тваринницьких комплексах.</w:t>
      </w:r>
    </w:p>
    <w:p w14:paraId="16878B6C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Впровадження цієї технології дозволяє тваринницьким комплексам повністю відповідати сучасним європейським екологічним нормам щодо поводження з відходами та якості атмосферних викидів [4].</w:t>
      </w:r>
    </w:p>
    <w:p w14:paraId="68FC7890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Виробництво </w:t>
      </w:r>
      <w:r w:rsidRPr="0029662B">
        <w:rPr>
          <w:rFonts w:cs="Times New Roman"/>
          <w:sz w:val="28"/>
          <w:szCs w:val="28"/>
          <w:lang/>
        </w:rPr>
        <w:t>гранульованих органо-мінеральних добрив</w:t>
      </w:r>
      <w:r w:rsidRPr="0029662B">
        <w:rPr>
          <w:rFonts w:cs="Times New Roman"/>
          <w:sz w:val="28"/>
          <w:szCs w:val="28"/>
        </w:rPr>
        <w:t xml:space="preserve"> (ГОМД) на місці має значний економічний ефект</w:t>
      </w:r>
      <w:r w:rsidRPr="0029662B">
        <w:rPr>
          <w:rFonts w:cs="Times New Roman"/>
          <w:sz w:val="28"/>
          <w:szCs w:val="28"/>
          <w:lang w:val="ru-RU"/>
        </w:rPr>
        <w:t xml:space="preserve"> [4,5</w:t>
      </w:r>
      <w:r w:rsidRPr="0029662B">
        <w:rPr>
          <w:rFonts w:cs="Times New Roman"/>
          <w:sz w:val="28"/>
          <w:szCs w:val="28"/>
        </w:rPr>
        <w:t>]:</w:t>
      </w:r>
    </w:p>
    <w:p w14:paraId="38AA0D58" w14:textId="77777777" w:rsidR="0029662B" w:rsidRPr="0029662B" w:rsidRDefault="0029662B" w:rsidP="0029662B">
      <w:pPr>
        <w:numPr>
          <w:ilvl w:val="0"/>
          <w:numId w:val="13"/>
        </w:numPr>
        <w:tabs>
          <w:tab w:val="clear" w:pos="720"/>
          <w:tab w:val="num" w:pos="993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місцева сировина, місцеві добрива: відпадає необхідність транспортувати рідкі відходи та значно знижуються витрати на перевезення готових добрив на поля. </w:t>
      </w:r>
    </w:p>
    <w:p w14:paraId="6ECECB6C" w14:textId="77777777" w:rsidR="0029662B" w:rsidRPr="0029662B" w:rsidRDefault="0029662B" w:rsidP="0029662B">
      <w:pPr>
        <w:numPr>
          <w:ilvl w:val="0"/>
          <w:numId w:val="13"/>
        </w:numPr>
        <w:tabs>
          <w:tab w:val="clear" w:pos="720"/>
          <w:tab w:val="num" w:pos="851"/>
        </w:tabs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 xml:space="preserve">готові гранульовані добрива (розмір 2-3 мм) повністю адаптовані для внесення існуючою сільгосптехнікою. </w:t>
      </w:r>
    </w:p>
    <w:p w14:paraId="0E5EE200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sz w:val="28"/>
          <w:szCs w:val="28"/>
        </w:rPr>
        <w:t>Можливість виробництва добрив із заданим співвідношенням поживних речовин під конкретну культуру забезпечує принципи точного землеробства, підвищуючи ефективність живлення рослин та зменшуючи непродуктивні витрати.</w:t>
      </w:r>
    </w:p>
    <w:p w14:paraId="6910E5E6" w14:textId="77777777" w:rsidR="0029662B" w:rsidRPr="0029662B" w:rsidRDefault="0029662B" w:rsidP="0029662B">
      <w:pPr>
        <w:spacing w:line="276" w:lineRule="auto"/>
        <w:jc w:val="both"/>
        <w:rPr>
          <w:rFonts w:cs="Times New Roman"/>
          <w:sz w:val="28"/>
          <w:szCs w:val="28"/>
        </w:rPr>
      </w:pPr>
      <w:r w:rsidRPr="0029662B">
        <w:rPr>
          <w:rFonts w:cs="Times New Roman"/>
          <w:i/>
          <w:iCs/>
          <w:sz w:val="28"/>
          <w:szCs w:val="28"/>
        </w:rPr>
        <w:t>Висновки.</w:t>
      </w:r>
      <w:r w:rsidRPr="0029662B">
        <w:rPr>
          <w:rFonts w:cs="Times New Roman"/>
          <w:b/>
          <w:bCs/>
          <w:sz w:val="28"/>
          <w:szCs w:val="28"/>
        </w:rPr>
        <w:t xml:space="preserve"> </w:t>
      </w:r>
      <w:r w:rsidRPr="0029662B">
        <w:rPr>
          <w:rFonts w:cs="Times New Roman"/>
          <w:sz w:val="28"/>
          <w:szCs w:val="28"/>
        </w:rPr>
        <w:t>Розроблена енергозберігаюча технологія є ефективним інструментом для виробництва високоякісних гранульованих органо-мінеральних добрив пролонгованої дії на базі рідких відходів тваринництва.</w:t>
      </w:r>
    </w:p>
    <w:p w14:paraId="3F0F77EE" w14:textId="77777777" w:rsidR="0029662B" w:rsidRDefault="0029662B" w:rsidP="0029662B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</w:p>
    <w:p w14:paraId="4850A8D5" w14:textId="478471D3" w:rsidR="0029662B" w:rsidRPr="0029662B" w:rsidRDefault="0029662B" w:rsidP="0029662B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29662B">
        <w:rPr>
          <w:rFonts w:cs="Times New Roman"/>
          <w:b/>
          <w:bCs/>
          <w:sz w:val="28"/>
          <w:szCs w:val="28"/>
        </w:rPr>
        <w:t>Список літератури.</w:t>
      </w:r>
    </w:p>
    <w:p w14:paraId="5969CC05" w14:textId="77777777" w:rsidR="0029662B" w:rsidRPr="0029662B" w:rsidRDefault="0029662B" w:rsidP="0029662B">
      <w:pPr>
        <w:spacing w:line="276" w:lineRule="auto"/>
        <w:jc w:val="both"/>
        <w:rPr>
          <w:rFonts w:cs="Times New Roman"/>
          <w:iCs/>
          <w:sz w:val="28"/>
          <w:szCs w:val="28"/>
        </w:rPr>
      </w:pPr>
      <w:r w:rsidRPr="0029662B">
        <w:rPr>
          <w:rFonts w:cs="Times New Roman"/>
          <w:iCs/>
          <w:sz w:val="28"/>
          <w:szCs w:val="28"/>
        </w:rPr>
        <w:t xml:space="preserve">1. </w:t>
      </w:r>
      <w:proofErr w:type="spellStart"/>
      <w:r w:rsidRPr="0029662B">
        <w:rPr>
          <w:rFonts w:cs="Times New Roman"/>
          <w:sz w:val="28"/>
          <w:szCs w:val="28"/>
        </w:rPr>
        <w:t>Болтянський</w:t>
      </w:r>
      <w:proofErr w:type="spellEnd"/>
      <w:r w:rsidRPr="0029662B">
        <w:rPr>
          <w:rFonts w:cs="Times New Roman"/>
          <w:sz w:val="28"/>
          <w:szCs w:val="28"/>
        </w:rPr>
        <w:t xml:space="preserve"> Б.В. </w:t>
      </w:r>
      <w:proofErr w:type="spellStart"/>
      <w:r w:rsidRPr="0029662B">
        <w:rPr>
          <w:rFonts w:cs="Times New Roman"/>
          <w:sz w:val="28"/>
          <w:szCs w:val="28"/>
        </w:rPr>
        <w:t>Енерго</w:t>
      </w:r>
      <w:proofErr w:type="spellEnd"/>
      <w:r w:rsidRPr="0029662B">
        <w:rPr>
          <w:rFonts w:cs="Times New Roman"/>
          <w:sz w:val="28"/>
          <w:szCs w:val="28"/>
        </w:rPr>
        <w:t xml:space="preserve">- та ресурсозбереження в тваринництві: підручник / Б.В. </w:t>
      </w:r>
      <w:proofErr w:type="spellStart"/>
      <w:r w:rsidRPr="0029662B">
        <w:rPr>
          <w:rFonts w:cs="Times New Roman"/>
          <w:sz w:val="28"/>
          <w:szCs w:val="28"/>
        </w:rPr>
        <w:t>Болтянський</w:t>
      </w:r>
      <w:proofErr w:type="spellEnd"/>
      <w:r w:rsidRPr="0029662B">
        <w:rPr>
          <w:rFonts w:cs="Times New Roman"/>
          <w:sz w:val="28"/>
          <w:szCs w:val="28"/>
        </w:rPr>
        <w:t xml:space="preserve"> та ін. К.: Видавничий дім «Кондор», 2020. 410 с.</w:t>
      </w:r>
    </w:p>
    <w:p w14:paraId="4AC4B116" w14:textId="77777777" w:rsidR="0029662B" w:rsidRPr="0029662B" w:rsidRDefault="0029662B" w:rsidP="0029662B">
      <w:pPr>
        <w:spacing w:line="276" w:lineRule="auto"/>
        <w:jc w:val="both"/>
        <w:rPr>
          <w:rFonts w:cs="Times New Roman"/>
          <w:iCs/>
          <w:sz w:val="28"/>
          <w:szCs w:val="28"/>
        </w:rPr>
      </w:pPr>
      <w:r w:rsidRPr="0029662B">
        <w:rPr>
          <w:rFonts w:cs="Times New Roman"/>
          <w:iCs/>
          <w:sz w:val="28"/>
          <w:szCs w:val="28"/>
        </w:rPr>
        <w:t xml:space="preserve">2. Григоренко С.М. Адаптивні методи утилізації відходів птахівництва. </w:t>
      </w:r>
      <w:r w:rsidRPr="0029662B">
        <w:rPr>
          <w:rFonts w:cs="Times New Roman"/>
          <w:i/>
          <w:sz w:val="28"/>
          <w:szCs w:val="28"/>
        </w:rPr>
        <w:t>Науковий вісник ТДАТУ</w:t>
      </w:r>
      <w:r w:rsidRPr="0029662B">
        <w:rPr>
          <w:rFonts w:cs="Times New Roman"/>
          <w:iCs/>
          <w:sz w:val="28"/>
          <w:szCs w:val="28"/>
        </w:rPr>
        <w:t xml:space="preserve">. Мелітополь: ТДАТУ, 2021. </w:t>
      </w:r>
      <w:proofErr w:type="spellStart"/>
      <w:r w:rsidRPr="0029662B">
        <w:rPr>
          <w:rFonts w:cs="Times New Roman"/>
          <w:iCs/>
          <w:sz w:val="28"/>
          <w:szCs w:val="28"/>
        </w:rPr>
        <w:t>Вип</w:t>
      </w:r>
      <w:proofErr w:type="spellEnd"/>
      <w:r w:rsidRPr="0029662B">
        <w:rPr>
          <w:rFonts w:cs="Times New Roman"/>
          <w:iCs/>
          <w:sz w:val="28"/>
          <w:szCs w:val="28"/>
        </w:rPr>
        <w:t>. 11, том 1.</w:t>
      </w:r>
    </w:p>
    <w:p w14:paraId="76CA6797" w14:textId="77777777" w:rsidR="0029662B" w:rsidRPr="0029662B" w:rsidRDefault="0029662B" w:rsidP="0029662B">
      <w:pPr>
        <w:spacing w:line="276" w:lineRule="auto"/>
        <w:jc w:val="both"/>
        <w:rPr>
          <w:rFonts w:cs="Times New Roman"/>
          <w:bCs/>
          <w:iCs/>
          <w:sz w:val="28"/>
          <w:szCs w:val="28"/>
          <w:lang/>
        </w:rPr>
      </w:pPr>
      <w:r w:rsidRPr="0029662B">
        <w:rPr>
          <w:rFonts w:cs="Times New Roman"/>
          <w:iCs/>
          <w:sz w:val="28"/>
          <w:szCs w:val="28"/>
        </w:rPr>
        <w:lastRenderedPageBreak/>
        <w:t xml:space="preserve">3. </w:t>
      </w:r>
      <w:r w:rsidRPr="0029662B">
        <w:rPr>
          <w:rFonts w:cs="Times New Roman"/>
          <w:iCs/>
          <w:sz w:val="28"/>
          <w:szCs w:val="28"/>
          <w:lang/>
        </w:rPr>
        <w:t xml:space="preserve">Скляр О.Г. Обгрунтування факторів, що впливають на процес компостування. </w:t>
      </w:r>
      <w:r w:rsidRPr="0029662B">
        <w:rPr>
          <w:rFonts w:cs="Times New Roman"/>
          <w:i/>
          <w:sz w:val="28"/>
          <w:szCs w:val="28"/>
          <w:lang/>
        </w:rPr>
        <w:t>Технічний прогрес у тваринництві та кормовиробництві:</w:t>
      </w:r>
      <w:r w:rsidRPr="0029662B">
        <w:rPr>
          <w:rFonts w:cs="Times New Roman"/>
          <w:iCs/>
          <w:sz w:val="28"/>
          <w:szCs w:val="28"/>
          <w:lang/>
        </w:rPr>
        <w:t xml:space="preserve"> IX Міжнародна науково-технічна конференція. Глеваха-Київ. 2020. С. 143-145.</w:t>
      </w:r>
    </w:p>
    <w:p w14:paraId="4DF4FA73" w14:textId="77777777" w:rsidR="0029662B" w:rsidRPr="0029662B" w:rsidRDefault="0029662B" w:rsidP="0029662B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29662B">
        <w:rPr>
          <w:rFonts w:cs="Times New Roman"/>
          <w:bCs/>
          <w:iCs/>
          <w:sz w:val="28"/>
          <w:szCs w:val="28"/>
        </w:rPr>
        <w:t xml:space="preserve">4. </w:t>
      </w:r>
      <w:r w:rsidRPr="0029662B">
        <w:rPr>
          <w:rFonts w:cs="Times New Roman"/>
          <w:iCs/>
          <w:sz w:val="28"/>
          <w:szCs w:val="28"/>
        </w:rPr>
        <w:t xml:space="preserve">Скляр О. Г., Скляр Р. В. </w:t>
      </w:r>
      <w:proofErr w:type="spellStart"/>
      <w:r w:rsidRPr="0029662B">
        <w:rPr>
          <w:rFonts w:cs="Times New Roman"/>
          <w:iCs/>
          <w:sz w:val="28"/>
          <w:szCs w:val="28"/>
        </w:rPr>
        <w:t>Біоконверсні</w:t>
      </w:r>
      <w:proofErr w:type="spellEnd"/>
      <w:r w:rsidRPr="0029662B">
        <w:rPr>
          <w:rFonts w:cs="Times New Roman"/>
          <w:iCs/>
          <w:sz w:val="28"/>
          <w:szCs w:val="28"/>
        </w:rPr>
        <w:t xml:space="preserve"> технології прискореної переробки відходів тваринництва в екологічно безпечні добрива. </w:t>
      </w:r>
      <w:r w:rsidRPr="0029662B">
        <w:rPr>
          <w:rFonts w:cs="Times New Roman"/>
          <w:i/>
          <w:sz w:val="28"/>
          <w:szCs w:val="28"/>
        </w:rPr>
        <w:t>Науковий вісник ТДАТУ</w:t>
      </w:r>
      <w:r w:rsidRPr="0029662B">
        <w:rPr>
          <w:rFonts w:cs="Times New Roman"/>
          <w:iCs/>
          <w:sz w:val="28"/>
          <w:szCs w:val="28"/>
        </w:rPr>
        <w:t xml:space="preserve">. Мелітополь: ТДАТУ, 2021. </w:t>
      </w:r>
      <w:proofErr w:type="spellStart"/>
      <w:r w:rsidRPr="0029662B">
        <w:rPr>
          <w:rFonts w:cs="Times New Roman"/>
          <w:iCs/>
          <w:sz w:val="28"/>
          <w:szCs w:val="28"/>
        </w:rPr>
        <w:t>Вип</w:t>
      </w:r>
      <w:proofErr w:type="spellEnd"/>
      <w:r w:rsidRPr="0029662B">
        <w:rPr>
          <w:rFonts w:cs="Times New Roman"/>
          <w:iCs/>
          <w:sz w:val="28"/>
          <w:szCs w:val="28"/>
        </w:rPr>
        <w:t xml:space="preserve">. 11, том 2. №3. </w:t>
      </w:r>
      <w:r w:rsidRPr="0029662B">
        <w:rPr>
          <w:rFonts w:cs="Times New Roman"/>
          <w:bCs/>
          <w:iCs/>
          <w:sz w:val="28"/>
          <w:szCs w:val="28"/>
        </w:rPr>
        <w:t>DOI: 10.31388/2220-8674-2021-2-3.</w:t>
      </w:r>
    </w:p>
    <w:p w14:paraId="4A38EB83" w14:textId="77777777" w:rsidR="0029662B" w:rsidRPr="0029662B" w:rsidRDefault="0029662B" w:rsidP="0029662B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29662B">
        <w:rPr>
          <w:rFonts w:cs="Times New Roman"/>
          <w:iCs/>
          <w:sz w:val="28"/>
          <w:szCs w:val="28"/>
        </w:rPr>
        <w:t xml:space="preserve">5. </w:t>
      </w:r>
      <w:r w:rsidRPr="0029662B">
        <w:rPr>
          <w:rFonts w:cs="Times New Roman"/>
          <w:bCs/>
          <w:iCs/>
          <w:sz w:val="28"/>
          <w:szCs w:val="28"/>
        </w:rPr>
        <w:t xml:space="preserve">Скляр Р. В., Комар А. С. Огляд методів дослідження та оптимізації машинних технологій утилізації відходів тваринництва. </w:t>
      </w:r>
      <w:r w:rsidRPr="0029662B">
        <w:rPr>
          <w:rFonts w:cs="Times New Roman"/>
          <w:i/>
          <w:sz w:val="28"/>
          <w:szCs w:val="28"/>
        </w:rPr>
        <w:t>Науковий вісник ТДАТУ</w:t>
      </w:r>
      <w:r w:rsidRPr="0029662B">
        <w:rPr>
          <w:rFonts w:cs="Times New Roman"/>
          <w:iCs/>
          <w:sz w:val="28"/>
          <w:szCs w:val="28"/>
        </w:rPr>
        <w:t xml:space="preserve">. Запоріжжя: ТДАТУ, 2023. </w:t>
      </w:r>
      <w:proofErr w:type="spellStart"/>
      <w:r w:rsidRPr="0029662B">
        <w:rPr>
          <w:rFonts w:cs="Times New Roman"/>
          <w:iCs/>
          <w:sz w:val="28"/>
          <w:szCs w:val="28"/>
        </w:rPr>
        <w:t>Вип</w:t>
      </w:r>
      <w:proofErr w:type="spellEnd"/>
      <w:r w:rsidRPr="0029662B">
        <w:rPr>
          <w:rFonts w:cs="Times New Roman"/>
          <w:iCs/>
          <w:sz w:val="28"/>
          <w:szCs w:val="28"/>
        </w:rPr>
        <w:t xml:space="preserve">. 13, том 2. №9. </w:t>
      </w:r>
      <w:r w:rsidRPr="0029662B">
        <w:rPr>
          <w:rFonts w:cs="Times New Roman"/>
          <w:iCs/>
          <w:sz w:val="28"/>
          <w:szCs w:val="28"/>
          <w:lang w:val="en-US"/>
        </w:rPr>
        <w:t>DOI</w:t>
      </w:r>
      <w:r w:rsidRPr="0029662B">
        <w:rPr>
          <w:rFonts w:cs="Times New Roman"/>
          <w:iCs/>
          <w:sz w:val="28"/>
          <w:szCs w:val="28"/>
        </w:rPr>
        <w:t>: 10.31388/2220-8674-2023-2-9.</w:t>
      </w:r>
    </w:p>
    <w:p w14:paraId="03BEBFD4" w14:textId="31B71ABE" w:rsidR="00F65193" w:rsidRPr="00F65193" w:rsidRDefault="00F65193" w:rsidP="0029662B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F65193" w:rsidRPr="00F65193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6C660DC"/>
    <w:multiLevelType w:val="multilevel"/>
    <w:tmpl w:val="65B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C4AC1"/>
    <w:multiLevelType w:val="multilevel"/>
    <w:tmpl w:val="273E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2E978F3"/>
    <w:multiLevelType w:val="multilevel"/>
    <w:tmpl w:val="AF52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F7E227A"/>
    <w:multiLevelType w:val="multilevel"/>
    <w:tmpl w:val="C722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020435"/>
    <w:multiLevelType w:val="multilevel"/>
    <w:tmpl w:val="25F6A5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85D7891"/>
    <w:multiLevelType w:val="multilevel"/>
    <w:tmpl w:val="36D84D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0"/>
  </w:num>
  <w:num w:numId="5">
    <w:abstractNumId w:val="8"/>
  </w:num>
  <w:num w:numId="6">
    <w:abstractNumId w:val="10"/>
  </w:num>
  <w:num w:numId="7">
    <w:abstractNumId w:val="14"/>
  </w:num>
  <w:num w:numId="8">
    <w:abstractNumId w:val="11"/>
  </w:num>
  <w:num w:numId="9">
    <w:abstractNumId w:val="13"/>
  </w:num>
  <w:num w:numId="10">
    <w:abstractNumId w:val="4"/>
  </w:num>
  <w:num w:numId="11">
    <w:abstractNumId w:val="2"/>
  </w:num>
  <w:num w:numId="12">
    <w:abstractNumId w:val="7"/>
  </w:num>
  <w:num w:numId="13">
    <w:abstractNumId w:val="12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214F38"/>
    <w:rsid w:val="00241324"/>
    <w:rsid w:val="0029662B"/>
    <w:rsid w:val="002D20E7"/>
    <w:rsid w:val="0035230F"/>
    <w:rsid w:val="00355DDC"/>
    <w:rsid w:val="00417B1F"/>
    <w:rsid w:val="004B7CB2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9F6C47"/>
    <w:rsid w:val="00A115F0"/>
    <w:rsid w:val="00A212EA"/>
    <w:rsid w:val="00A33FA7"/>
    <w:rsid w:val="00A51FAD"/>
    <w:rsid w:val="00AA23AD"/>
    <w:rsid w:val="00AB5CD4"/>
    <w:rsid w:val="00B12080"/>
    <w:rsid w:val="00B73A1B"/>
    <w:rsid w:val="00B96674"/>
    <w:rsid w:val="00BE1822"/>
    <w:rsid w:val="00BF36F6"/>
    <w:rsid w:val="00D072F7"/>
    <w:rsid w:val="00D60A92"/>
    <w:rsid w:val="00D84B4D"/>
    <w:rsid w:val="00D871F9"/>
    <w:rsid w:val="00DE1766"/>
    <w:rsid w:val="00E95B21"/>
    <w:rsid w:val="00EA2B61"/>
    <w:rsid w:val="00EB1B7E"/>
    <w:rsid w:val="00EC5F48"/>
    <w:rsid w:val="00F01F20"/>
    <w:rsid w:val="00F118A1"/>
    <w:rsid w:val="00F43EBE"/>
    <w:rsid w:val="00F6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3201</Words>
  <Characters>1825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2025-10-23T18:38:00Z</dcterms:created>
  <dcterms:modified xsi:type="dcterms:W3CDTF">2025-10-23T18:41:00Z</dcterms:modified>
</cp:coreProperties>
</file>