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6F0A77FF" w:rsidR="00995A9E" w:rsidRDefault="00995A9E" w:rsidP="009D0567">
      <w:pPr>
        <w:spacing w:line="276" w:lineRule="auto"/>
        <w:ind w:firstLine="0"/>
        <w:rPr>
          <w:sz w:val="28"/>
          <w:szCs w:val="28"/>
        </w:rPr>
      </w:pPr>
      <w:r w:rsidRPr="00995A9E">
        <w:rPr>
          <w:sz w:val="28"/>
          <w:szCs w:val="28"/>
        </w:rPr>
        <w:t xml:space="preserve">УДК </w:t>
      </w:r>
      <w:r w:rsidR="006661A1" w:rsidRPr="006661A1">
        <w:rPr>
          <w:sz w:val="28"/>
          <w:szCs w:val="28"/>
        </w:rPr>
        <w:t>621.431.73:620.91:631.372</w:t>
      </w:r>
    </w:p>
    <w:p w14:paraId="102E8AD0" w14:textId="77777777" w:rsidR="00700658" w:rsidRPr="00995A9E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68123EBA" w:rsidR="00D072F7" w:rsidRPr="00995A9E" w:rsidRDefault="006661A1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6661A1">
        <w:rPr>
          <w:b/>
          <w:caps/>
          <w:sz w:val="28"/>
          <w:szCs w:val="28"/>
        </w:rPr>
        <w:t>ДВОФАЗНЕ СУМІШОУТВОРЕННЯ В ДИЗЕЛІ ЯК СПОСІБ ПОЛІПШЕННЯ ТЕХНІКО-ЕНЕРГЕТИЧНИХ ПОКАЗНИКІВ ТРАКТОРА</w:t>
      </w:r>
    </w:p>
    <w:p w14:paraId="0328B272" w14:textId="77777777" w:rsidR="00995A9E" w:rsidRPr="00995A9E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17E2C824" w14:textId="13DC949A" w:rsidR="006661A1" w:rsidRPr="006661A1" w:rsidRDefault="006661A1" w:rsidP="006661A1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lang w:val="ru-RU" w:eastAsia="uk-UA"/>
        </w:rPr>
      </w:pPr>
      <w:r w:rsidRPr="006661A1">
        <w:rPr>
          <w:rFonts w:eastAsia="Times New Roman" w:cs="Times New Roman"/>
          <w:b/>
          <w:sz w:val="28"/>
          <w:szCs w:val="28"/>
          <w:lang w:eastAsia="uk-UA"/>
        </w:rPr>
        <w:t>Савченко В.М.</w:t>
      </w:r>
      <w:r w:rsidRPr="006661A1">
        <w:rPr>
          <w:rFonts w:eastAsia="Times New Roman" w:cs="Times New Roman"/>
          <w:sz w:val="28"/>
          <w:szCs w:val="28"/>
          <w:lang w:val="uk" w:eastAsia="uk-UA"/>
        </w:rPr>
        <w:t xml:space="preserve">, </w:t>
      </w:r>
      <w:r w:rsidRPr="006661A1">
        <w:rPr>
          <w:rFonts w:eastAsia="Times New Roman" w:cs="Times New Roman"/>
          <w:sz w:val="28"/>
          <w:szCs w:val="28"/>
          <w:lang w:eastAsia="uk-UA"/>
        </w:rPr>
        <w:t xml:space="preserve">к.т.н., доцент, </w:t>
      </w:r>
      <w:r w:rsidRPr="006661A1">
        <w:rPr>
          <w:rFonts w:eastAsia="Times New Roman" w:cs="Times New Roman"/>
          <w:b/>
          <w:bCs/>
          <w:sz w:val="28"/>
          <w:szCs w:val="28"/>
          <w:lang w:eastAsia="uk-UA"/>
        </w:rPr>
        <w:t>Диняк О.В.</w:t>
      </w:r>
      <w:r w:rsidRPr="006661A1">
        <w:rPr>
          <w:rFonts w:eastAsia="Times New Roman" w:cs="Times New Roman"/>
          <w:sz w:val="28"/>
          <w:szCs w:val="28"/>
          <w:lang w:eastAsia="uk-UA"/>
        </w:rPr>
        <w:t xml:space="preserve"> здобувач освіти</w:t>
      </w:r>
      <w:r w:rsidRPr="006661A1">
        <w:rPr>
          <w:rFonts w:eastAsia="Times New Roman" w:cs="Times New Roman"/>
          <w:sz w:val="28"/>
          <w:szCs w:val="28"/>
          <w:lang w:val="ru-RU" w:eastAsia="uk-UA"/>
        </w:rPr>
        <w:t xml:space="preserve">, </w:t>
      </w:r>
      <w:r w:rsidRPr="006661A1">
        <w:rPr>
          <w:rFonts w:eastAsia="Times New Roman" w:cs="Times New Roman"/>
          <w:b/>
          <w:bCs/>
          <w:sz w:val="28"/>
          <w:szCs w:val="28"/>
          <w:lang w:val="ru-RU" w:eastAsia="uk-UA"/>
        </w:rPr>
        <w:t>Заруцький С.О.</w:t>
      </w:r>
      <w:r w:rsidRPr="006661A1">
        <w:rPr>
          <w:rFonts w:eastAsia="Times New Roman" w:cs="Times New Roman"/>
          <w:sz w:val="28"/>
          <w:szCs w:val="28"/>
          <w:lang w:val="ru-RU" w:eastAsia="uk-UA"/>
        </w:rPr>
        <w:t xml:space="preserve"> </w:t>
      </w:r>
      <w:r w:rsidRPr="006661A1">
        <w:rPr>
          <w:rFonts w:eastAsia="Times New Roman" w:cs="Times New Roman"/>
          <w:sz w:val="28"/>
          <w:szCs w:val="28"/>
          <w:lang w:eastAsia="uk-UA"/>
        </w:rPr>
        <w:t>здобувач освіти</w:t>
      </w:r>
      <w:r>
        <w:rPr>
          <w:rFonts w:eastAsia="Times New Roman" w:cs="Times New Roman"/>
          <w:sz w:val="28"/>
          <w:szCs w:val="28"/>
          <w:lang w:val="en-US" w:eastAsia="uk-UA"/>
        </w:rPr>
        <w:t>,</w:t>
      </w:r>
      <w:r w:rsidRPr="006661A1">
        <w:rPr>
          <w:rFonts w:eastAsia="Times New Roman" w:cs="Times New Roman"/>
          <w:iCs/>
          <w:sz w:val="28"/>
          <w:szCs w:val="28"/>
          <w:lang w:val="en-US" w:eastAsia="uk-UA"/>
        </w:rPr>
        <w:t xml:space="preserve"> </w:t>
      </w:r>
      <w:r w:rsidRPr="006661A1">
        <w:rPr>
          <w:rFonts w:eastAsia="Times New Roman" w:cs="Times New Roman"/>
          <w:iCs/>
          <w:sz w:val="28"/>
          <w:szCs w:val="28"/>
          <w:lang w:val="en-US" w:eastAsia="uk-UA"/>
        </w:rPr>
        <w:t>dgs-ua@ukr.net</w:t>
      </w:r>
    </w:p>
    <w:p w14:paraId="40282010" w14:textId="77777777" w:rsidR="006661A1" w:rsidRPr="006661A1" w:rsidRDefault="006661A1" w:rsidP="006661A1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6661A1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</w:p>
    <w:p w14:paraId="6C75590E" w14:textId="77777777" w:rsidR="00995A9E" w:rsidRPr="00995A9E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00F1FD68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>Спосіб двофазного сумішоутворення спочатку застосовували у 1930–1940-х роках для форсування авіаційних, суднових та танкових дизелів. Згодом цей спосіб почали розглядати як перспективний метод підвищення експлуатаційних показників автотракторної, у тому числі сільськогосподарської техніки. Як активатор, що подається на першій фазі сумішоутворення, може використовуватися як традиційне дизельне паливо, так і інші види моторних палив (бензин, гас тощо), у тому числі альтернативні палива, а також будь-які інші легколеткі рідкі вуглеводні.</w:t>
      </w:r>
    </w:p>
    <w:p w14:paraId="5E9328BD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>У роботі [1] проводилися дослідження суднових дизельних двигунів із вихровою та з нерозділеною камерами згоряння (КЗ). На першій фазі сумішоутворення подавалося 20% дизельного палива від величини загальної циклової подачі. У результаті проведених досліджень було встановлено, що дизелі з двофазним сумішоутворенням розвивають у середньому на 10% більшу ефективну потужність порівняно з серійним дизелем. Середній індикаторний тиск у дизеля з вихровою КЗ збільшився на 6,4%, а в дизеля з нерозділеною КЗ – на 2,2%. Питома ефективна витрата палива у дизеля з вихровою КЗ зменшилася на 2,9%, а у дизеля з нерозділеною КЗ – на 1,35%. Також відзначається зниження коефіцієнта надлишку повітря.</w:t>
      </w:r>
    </w:p>
    <w:p w14:paraId="4E8ED013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 xml:space="preserve">Найбільш відомим і поширеним активатором для подачі в дизель на першій фазі сумішоутворення є автомобільний бензин, який являє собою найлеткішу нафтопродуктову фракцію і таким чином за своєю випаровуваністю займає проміжне положення між газом і рідиною. Це створює сприятливі передумови для форсування дизеля за рахунок підготовки робочої суміші до займання та прискорення передпламеневих реакцій. У дослідженнях різних авторів зазначається підвищення ефективної потужності до 30 %, зниження питомої ефективної витрати палива до 6 %, зменшення вмісту викидів оксидів азоту на 22–35 %. Проте на деяких експлуатаційних режимах можуть виникати і негативні явища, такі як підвищення температури відпрацьованих газів на 65–75 °С, температури деталей циліндро-поршневої групи на 10 °С, тобто виникає небезпека перегріву двигуна. Крім того, збільшення тепловиділення у початкових фазах згоряння може спричиняти підвищення «жорсткості» роботи дизеля. Тому в умовах жаркого клімату дозу бензину при двофазному </w:t>
      </w:r>
      <w:r w:rsidRPr="006661A1">
        <w:rPr>
          <w:rFonts w:cs="Times New Roman"/>
          <w:sz w:val="28"/>
          <w:szCs w:val="28"/>
        </w:rPr>
        <w:lastRenderedPageBreak/>
        <w:t>сумішоутворенні бажано обмежувати на рівні не більше ніж 10 % від основної дози палива.</w:t>
      </w:r>
    </w:p>
    <w:p w14:paraId="57D1400B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>Для усунення перегріву двигуна та інших негативних явищ разом із бензином у першій фазі сумішоутворення подавали водний активатор. При цьому спостерігалося підвищення ефективної потужності на 14 % і зниження викидів оксидів азоту у 1,4 раза. Альтернативні види моторних палив на основі рослинних олій також можуть використовуватися як активатори при двофазному сумішоутворенні. Так, було проведено дослідження дизеля Д-243 із двофазним сумішоутворенням і подачею ріпакової олії. Дози ріпакової олії становили 5 % і 10 % від основної дози дизельного палива, причому цей активатор подавали як при нормативній подачі основної дози палива, так і при заниженій на 10 %. При заниженій подачі палива та 5%-ній дозі ріпакової олії спостерігалося зниження потужності дизеля на 7 %, а при збільшенні дози олії до 10 % зниження потужності не відбувалося.</w:t>
      </w:r>
    </w:p>
    <w:p w14:paraId="1192C95B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>При нормативній подачі основної дози палива та 5%-ній дозі олії було досягнуто підвищення потужності на 5 %. За всіх співвідношень палива та активатора спостерігалося зниження вмісту оксидів азоту, яке становило близько 6 %. Димність відпрацьованих газів зменшувалася при заниженій подачі основної дози палива і дещо збільшувалася при нормативній подачі. Також у всіх варіантах двофазного сумішоутворення дещо зросли викиди оксиду вуглецю (CO).</w:t>
      </w:r>
    </w:p>
    <w:p w14:paraId="474355FD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 xml:space="preserve">За кордоном пріоритетним напрямом є поліпшення екологічних показників поршневих ДВЗ тракторів і автомобілів. У цьому аспекті як активатори найбільший інтерес становлять спирти (етанол і метанол). Переважна частина досліджень дизелів із двофазним сумішоутворенням, що проводяться у провідних країнах світу (Китай, Велика Британія, США та ін.), присвячена використанню саме цих активаторів. Найбільш доступним за собівартістю є метанол, який може бути виготовлений практично з будь-якої органічної сировини. </w:t>
      </w:r>
    </w:p>
    <w:p w14:paraId="7D46B202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>У більшості випадків двофазне сумішоутворення з подачею спиртових активаторів сприяє підвищенню ефективного ККД при високих навантаженнях дизеля та його зниженню – при малих навантаженнях. Це супроводжується зменшенням вмісту в ОГ оксидів азоту та димності, водночас може спостерігатися збільшення викидів оксиду вуглецю та вуглеводнів [1].</w:t>
      </w:r>
    </w:p>
    <w:p w14:paraId="1C27F489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>Доза активатора в розглянутих роботах варіюється у широких межах – від 10 % до 90 %, при цьому відсутні науково обґрунтовані рекомендації щодо вибору раціональних доз активаторів.</w:t>
      </w:r>
    </w:p>
    <w:p w14:paraId="43DCDE59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 xml:space="preserve">За кордоном також уже давно й успішно як альтернативні палива для ДВЗ із іскровим запалюванням застосовуються спирто-бензинові змішані палива (бензаноли). Ці палива становлять інтерес як активатори для двофазного сумішоутворення в дизелях. Проте відомості про подібні дослідження у </w:t>
      </w:r>
      <w:r w:rsidRPr="006661A1">
        <w:rPr>
          <w:rFonts w:cs="Times New Roman"/>
          <w:sz w:val="28"/>
          <w:szCs w:val="28"/>
        </w:rPr>
        <w:lastRenderedPageBreak/>
        <w:t>вітчизняній і зарубіжній науково-технічній літературі практично відсутні.</w:t>
      </w:r>
    </w:p>
    <w:p w14:paraId="0B4AC71D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4EC561A6" w14:textId="77777777" w:rsidR="006661A1" w:rsidRPr="006661A1" w:rsidRDefault="006661A1" w:rsidP="006661A1">
      <w:pPr>
        <w:spacing w:line="276" w:lineRule="auto"/>
        <w:jc w:val="both"/>
        <w:rPr>
          <w:rFonts w:cs="Times New Roman"/>
          <w:b/>
          <w:bCs/>
          <w:sz w:val="28"/>
          <w:szCs w:val="28"/>
        </w:rPr>
      </w:pPr>
      <w:r w:rsidRPr="006661A1">
        <w:rPr>
          <w:rFonts w:cs="Times New Roman"/>
          <w:b/>
          <w:bCs/>
          <w:sz w:val="28"/>
          <w:szCs w:val="28"/>
        </w:rPr>
        <w:t>Список використаних джерел</w:t>
      </w:r>
    </w:p>
    <w:p w14:paraId="054ED1B5" w14:textId="77777777" w:rsidR="006661A1" w:rsidRPr="006661A1" w:rsidRDefault="006661A1" w:rsidP="006661A1">
      <w:pPr>
        <w:spacing w:line="276" w:lineRule="auto"/>
        <w:jc w:val="both"/>
        <w:rPr>
          <w:rFonts w:cs="Times New Roman"/>
          <w:sz w:val="28"/>
          <w:szCs w:val="28"/>
        </w:rPr>
      </w:pPr>
      <w:r w:rsidRPr="006661A1">
        <w:rPr>
          <w:rFonts w:cs="Times New Roman"/>
          <w:sz w:val="28"/>
          <w:szCs w:val="28"/>
        </w:rPr>
        <w:t xml:space="preserve">1. Zhang W.  A review on performance, combustion and emission of diesel–alcohol dual-fuel engines. Renewable and Sustainable Energy Reviews. Vol. 116. October 2024. 101760. </w:t>
      </w:r>
      <w:r w:rsidRPr="006661A1">
        <w:rPr>
          <w:rFonts w:cs="Times New Roman"/>
          <w:sz w:val="28"/>
          <w:szCs w:val="28"/>
          <w:lang w:val="en-US"/>
        </w:rPr>
        <w:t>URL</w:t>
      </w:r>
      <w:r w:rsidRPr="006661A1">
        <w:rPr>
          <w:rFonts w:cs="Times New Roman"/>
          <w:sz w:val="28"/>
          <w:szCs w:val="28"/>
        </w:rPr>
        <w:t>: https://doi.org/10.1016/j.joei.2024.101760</w:t>
      </w:r>
    </w:p>
    <w:p w14:paraId="29B4C20A" w14:textId="4C9B6802" w:rsidR="00956EAC" w:rsidRPr="00956EAC" w:rsidRDefault="00956EAC" w:rsidP="006661A1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956EAC" w:rsidRPr="00956EAC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2F0D14"/>
    <w:rsid w:val="00355DDC"/>
    <w:rsid w:val="004B7CB2"/>
    <w:rsid w:val="005460FC"/>
    <w:rsid w:val="005535D1"/>
    <w:rsid w:val="00557BD1"/>
    <w:rsid w:val="00576FA5"/>
    <w:rsid w:val="00597443"/>
    <w:rsid w:val="005D433B"/>
    <w:rsid w:val="0063782D"/>
    <w:rsid w:val="0066558B"/>
    <w:rsid w:val="006661A1"/>
    <w:rsid w:val="00700658"/>
    <w:rsid w:val="00703DCD"/>
    <w:rsid w:val="00750106"/>
    <w:rsid w:val="00901A47"/>
    <w:rsid w:val="00956EAC"/>
    <w:rsid w:val="00995A9E"/>
    <w:rsid w:val="009D0567"/>
    <w:rsid w:val="009E358D"/>
    <w:rsid w:val="00A115F0"/>
    <w:rsid w:val="00A212EA"/>
    <w:rsid w:val="00A33FA7"/>
    <w:rsid w:val="00A51FAD"/>
    <w:rsid w:val="00AB6BA6"/>
    <w:rsid w:val="00B111D6"/>
    <w:rsid w:val="00B12080"/>
    <w:rsid w:val="00B96674"/>
    <w:rsid w:val="00BE1822"/>
    <w:rsid w:val="00BF36F6"/>
    <w:rsid w:val="00D072F7"/>
    <w:rsid w:val="00D60A92"/>
    <w:rsid w:val="00E95B21"/>
    <w:rsid w:val="00EC5F48"/>
    <w:rsid w:val="00F01F20"/>
    <w:rsid w:val="00F43EBE"/>
    <w:rsid w:val="00FD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3518</Words>
  <Characters>2006</Characters>
  <Application>Microsoft Office Word</Application>
  <DocSecurity>0</DocSecurity>
  <Lines>16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2025-10-23T19:18:00Z</dcterms:created>
  <dcterms:modified xsi:type="dcterms:W3CDTF">2025-10-23T19:19:00Z</dcterms:modified>
</cp:coreProperties>
</file>