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9ED3A" w14:textId="57067409" w:rsidR="00995A9E" w:rsidRDefault="00447CBC" w:rsidP="009D0567">
      <w:pPr>
        <w:spacing w:line="276" w:lineRule="auto"/>
        <w:ind w:firstLine="0"/>
        <w:rPr>
          <w:sz w:val="28"/>
          <w:szCs w:val="28"/>
        </w:rPr>
      </w:pPr>
      <w:r w:rsidRPr="00447CBC">
        <w:rPr>
          <w:sz w:val="28"/>
          <w:szCs w:val="28"/>
        </w:rPr>
        <w:t>УДК 620.197</w:t>
      </w:r>
    </w:p>
    <w:p w14:paraId="102E8AD0" w14:textId="77777777" w:rsidR="00700658" w:rsidRPr="00995A9E" w:rsidRDefault="00700658" w:rsidP="009D0567">
      <w:pPr>
        <w:spacing w:line="276" w:lineRule="auto"/>
        <w:ind w:firstLine="0"/>
        <w:rPr>
          <w:sz w:val="28"/>
          <w:szCs w:val="28"/>
        </w:rPr>
      </w:pPr>
    </w:p>
    <w:p w14:paraId="648FFEA3" w14:textId="49B092CF" w:rsidR="00D072F7" w:rsidRPr="00995A9E" w:rsidRDefault="00447CBC" w:rsidP="009D0567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  <w:r w:rsidRPr="00447CBC">
        <w:rPr>
          <w:b/>
          <w:caps/>
          <w:sz w:val="28"/>
          <w:szCs w:val="28"/>
        </w:rPr>
        <w:t>АНТИКОРОЗІЙНИЙ ЗАХИСТ МЕТАЛОКОНСТРУКЦІЙ ТВАРИННИЦЬКИХ ФЕРМ</w:t>
      </w:r>
    </w:p>
    <w:p w14:paraId="0328B272" w14:textId="77777777" w:rsidR="00995A9E" w:rsidRPr="00995A9E" w:rsidRDefault="00995A9E" w:rsidP="009D0567">
      <w:pPr>
        <w:spacing w:line="276" w:lineRule="auto"/>
        <w:ind w:firstLine="0"/>
        <w:jc w:val="center"/>
        <w:rPr>
          <w:rFonts w:cs="Times New Roman"/>
          <w:b/>
          <w:sz w:val="28"/>
          <w:szCs w:val="28"/>
        </w:rPr>
      </w:pPr>
    </w:p>
    <w:p w14:paraId="4B528339" w14:textId="0C94E454" w:rsidR="00995A9E" w:rsidRPr="000C0A4D" w:rsidRDefault="00447CBC" w:rsidP="009D0567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447CBC">
        <w:rPr>
          <w:rFonts w:cs="Times New Roman"/>
          <w:b/>
          <w:sz w:val="28"/>
          <w:szCs w:val="28"/>
        </w:rPr>
        <w:t>Попик П.С.,</w:t>
      </w:r>
      <w:r w:rsidR="00995A9E" w:rsidRPr="00995A9E">
        <w:rPr>
          <w:rFonts w:cs="Times New Roman"/>
          <w:b/>
          <w:sz w:val="28"/>
          <w:szCs w:val="28"/>
        </w:rPr>
        <w:t xml:space="preserve"> </w:t>
      </w:r>
      <w:proofErr w:type="spellStart"/>
      <w:r w:rsidR="00995A9E" w:rsidRPr="000C0A4D">
        <w:rPr>
          <w:rFonts w:cs="Times New Roman"/>
          <w:sz w:val="28"/>
          <w:szCs w:val="28"/>
        </w:rPr>
        <w:t>к.т.н</w:t>
      </w:r>
      <w:proofErr w:type="spellEnd"/>
      <w:r w:rsidR="00995A9E" w:rsidRPr="000C0A4D">
        <w:rPr>
          <w:rFonts w:cs="Times New Roman"/>
          <w:sz w:val="28"/>
          <w:szCs w:val="28"/>
        </w:rPr>
        <w:t xml:space="preserve">., доц., </w:t>
      </w:r>
      <w:proofErr w:type="spellStart"/>
      <w:r>
        <w:rPr>
          <w:rFonts w:cs="Times New Roman"/>
          <w:sz w:val="28"/>
          <w:szCs w:val="28"/>
          <w:lang w:val="en-US"/>
        </w:rPr>
        <w:t>pspopyk</w:t>
      </w:r>
      <w:proofErr w:type="spellEnd"/>
      <w:r w:rsidR="00995A9E" w:rsidRPr="000C0A4D">
        <w:rPr>
          <w:rFonts w:cs="Times New Roman"/>
          <w:sz w:val="28"/>
          <w:szCs w:val="28"/>
        </w:rPr>
        <w:t>@nubip.edu.ua</w:t>
      </w:r>
    </w:p>
    <w:p w14:paraId="37810A4F" w14:textId="4EF84C0C" w:rsidR="00995A9E" w:rsidRDefault="00995A9E" w:rsidP="009D0567">
      <w:pPr>
        <w:spacing w:line="276" w:lineRule="auto"/>
        <w:ind w:firstLine="0"/>
        <w:jc w:val="center"/>
        <w:rPr>
          <w:rFonts w:cs="Times New Roman"/>
          <w:i/>
          <w:sz w:val="28"/>
          <w:szCs w:val="28"/>
        </w:rPr>
      </w:pPr>
      <w:r w:rsidRPr="00995A9E">
        <w:rPr>
          <w:rFonts w:cs="Times New Roman"/>
          <w:i/>
          <w:sz w:val="28"/>
          <w:szCs w:val="28"/>
        </w:rPr>
        <w:t>Національний університет біоресурсів і природокористування України</w:t>
      </w:r>
    </w:p>
    <w:p w14:paraId="04E6D40D" w14:textId="77777777" w:rsidR="00447CBC" w:rsidRPr="00447CBC" w:rsidRDefault="00447CBC" w:rsidP="00447CBC">
      <w:pPr>
        <w:spacing w:line="276" w:lineRule="auto"/>
        <w:ind w:firstLine="0"/>
        <w:jc w:val="center"/>
        <w:rPr>
          <w:rFonts w:cs="Times New Roman"/>
          <w:iCs/>
          <w:sz w:val="28"/>
          <w:szCs w:val="28"/>
        </w:rPr>
      </w:pPr>
      <w:proofErr w:type="spellStart"/>
      <w:r w:rsidRPr="00447CBC">
        <w:rPr>
          <w:rFonts w:cs="Times New Roman"/>
          <w:b/>
          <w:bCs/>
          <w:iCs/>
          <w:sz w:val="28"/>
          <w:szCs w:val="28"/>
        </w:rPr>
        <w:t>Мигулько</w:t>
      </w:r>
      <w:proofErr w:type="spellEnd"/>
      <w:r w:rsidRPr="00447CBC">
        <w:rPr>
          <w:rFonts w:cs="Times New Roman"/>
          <w:b/>
          <w:bCs/>
          <w:iCs/>
          <w:sz w:val="28"/>
          <w:szCs w:val="28"/>
        </w:rPr>
        <w:t xml:space="preserve"> С.М.,</w:t>
      </w:r>
      <w:r w:rsidRPr="00447CBC">
        <w:rPr>
          <w:rFonts w:cs="Times New Roman"/>
          <w:iCs/>
          <w:sz w:val="28"/>
          <w:szCs w:val="28"/>
        </w:rPr>
        <w:t xml:space="preserve"> студент магістратури</w:t>
      </w:r>
    </w:p>
    <w:p w14:paraId="268A59CD" w14:textId="0A7DC734" w:rsidR="00447CBC" w:rsidRPr="00995A9E" w:rsidRDefault="00447CBC" w:rsidP="00447CBC">
      <w:pPr>
        <w:spacing w:line="276" w:lineRule="auto"/>
        <w:ind w:firstLine="0"/>
        <w:jc w:val="center"/>
        <w:rPr>
          <w:rFonts w:cs="Times New Roman"/>
          <w:i/>
          <w:sz w:val="28"/>
          <w:szCs w:val="28"/>
        </w:rPr>
      </w:pPr>
      <w:r w:rsidRPr="00447CBC">
        <w:rPr>
          <w:rFonts w:cs="Times New Roman"/>
          <w:i/>
          <w:sz w:val="28"/>
          <w:szCs w:val="28"/>
        </w:rPr>
        <w:t>Сумський національний аграрний університет</w:t>
      </w:r>
    </w:p>
    <w:p w14:paraId="6C75590E" w14:textId="77777777" w:rsidR="00995A9E" w:rsidRPr="00995A9E" w:rsidRDefault="00995A9E" w:rsidP="009D0567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</w:p>
    <w:p w14:paraId="4DFBC95C" w14:textId="77777777" w:rsidR="00447CBC" w:rsidRPr="00447CBC" w:rsidRDefault="00447CBC" w:rsidP="00447CBC">
      <w:pPr>
        <w:spacing w:line="276" w:lineRule="auto"/>
        <w:jc w:val="both"/>
        <w:rPr>
          <w:rFonts w:cs="Times New Roman"/>
          <w:sz w:val="28"/>
          <w:szCs w:val="28"/>
        </w:rPr>
      </w:pPr>
      <w:r w:rsidRPr="00447CBC">
        <w:rPr>
          <w:rFonts w:cs="Times New Roman"/>
          <w:sz w:val="28"/>
          <w:szCs w:val="28"/>
        </w:rPr>
        <w:t>Дослідження мікроклімату в тваринницьких приміщеннях господарств показали, що мікроклімат характеризується наступними даними: відносна вологість повітря 72-85%; запиленість 0,002-0,001 мг/л повітря; вміст вуглекислого газу 0,10-0,14 %; вміст аміаку 0,007-0,013, сірководню 0,0006-0,002, діоксиду сірки 0,0001-0,0018 мг/л повітря. Висока вологість разом з пилом (органічного і неорганічного походження) сприяє біохімічній (біологічній) корозії, яка за даними дослідників, у деяких випадках може мати більше значення ніж електрична корозія.</w:t>
      </w:r>
    </w:p>
    <w:p w14:paraId="4F68B380" w14:textId="77777777" w:rsidR="00447CBC" w:rsidRPr="00447CBC" w:rsidRDefault="00447CBC" w:rsidP="00447CBC">
      <w:pPr>
        <w:spacing w:line="276" w:lineRule="auto"/>
        <w:jc w:val="both"/>
        <w:rPr>
          <w:rFonts w:cs="Times New Roman"/>
          <w:sz w:val="28"/>
          <w:szCs w:val="28"/>
        </w:rPr>
      </w:pPr>
      <w:r w:rsidRPr="00447CBC">
        <w:rPr>
          <w:rFonts w:cs="Times New Roman"/>
          <w:sz w:val="28"/>
          <w:szCs w:val="28"/>
        </w:rPr>
        <w:t xml:space="preserve">Підвищена агресивність мікроклімату ферм призводить до передчасного виходу з ладу обладнання систем водопостачання, опалення, вентиляції та інших металевих виробів. Від корозійного руйнування в тваринницьких приміщеннях щорічно втрачається 2-4% металу. Для захисту металу від корозії в тваринництві в основному використовують цинкові і лакофарбові матеріали. Але, як показують дослідження (і практика), цинк не є досить стабільним захисним матеріалом в мікрокліматі фермерських господарств. На поверхні оцинкованих виробів, в залежності від характеру мікроклімату, продукти корозії цинкового шару з'являються у вигляді «білої іржі» через 0,5-1 рік. Оцинкована низьковуглецева сталь може піддаватися корозії не тільки після руйнування цинкового шару, що </w:t>
      </w:r>
      <w:proofErr w:type="spellStart"/>
      <w:r w:rsidRPr="00447CBC">
        <w:rPr>
          <w:rFonts w:cs="Times New Roman"/>
          <w:sz w:val="28"/>
          <w:szCs w:val="28"/>
        </w:rPr>
        <w:t>електрохімічно</w:t>
      </w:r>
      <w:proofErr w:type="spellEnd"/>
      <w:r w:rsidRPr="00447CBC">
        <w:rPr>
          <w:rFonts w:cs="Times New Roman"/>
          <w:sz w:val="28"/>
          <w:szCs w:val="28"/>
        </w:rPr>
        <w:t xml:space="preserve"> захищає метал, але і в результаті пористості покриття. У деяких зразках такі осередки покривали 20-30% від загальної поверхні, не рахуючи руйнування самого захисного шару.</w:t>
      </w:r>
    </w:p>
    <w:p w14:paraId="7EBB109C" w14:textId="77777777" w:rsidR="00447CBC" w:rsidRPr="00447CBC" w:rsidRDefault="00447CBC" w:rsidP="00447CBC">
      <w:pPr>
        <w:spacing w:line="276" w:lineRule="auto"/>
        <w:jc w:val="both"/>
        <w:rPr>
          <w:rFonts w:cs="Times New Roman"/>
          <w:sz w:val="28"/>
          <w:szCs w:val="28"/>
        </w:rPr>
      </w:pPr>
      <w:r w:rsidRPr="00447CBC">
        <w:rPr>
          <w:rFonts w:cs="Times New Roman"/>
          <w:sz w:val="28"/>
          <w:szCs w:val="28"/>
        </w:rPr>
        <w:t xml:space="preserve">Низька стійкість цинкових покриттів в мікрокліматі фермерських господарств обумовлена його хімічними властивостями. Цинк схильний до значної корозії в атмосфері діоксиду сірки, сірководню, аміаку, тобто тих газів, які присутні в мікрокліматі тваринницьких приміщень. Стійкість цинку до розбавлених кислот і лугів також недостатньо висока. А це умови, характерні для </w:t>
      </w:r>
      <w:proofErr w:type="spellStart"/>
      <w:r w:rsidRPr="00447CBC">
        <w:rPr>
          <w:rFonts w:cs="Times New Roman"/>
          <w:sz w:val="28"/>
          <w:szCs w:val="28"/>
        </w:rPr>
        <w:t>мікроконденсаційних</w:t>
      </w:r>
      <w:proofErr w:type="spellEnd"/>
      <w:r w:rsidRPr="00447CBC">
        <w:rPr>
          <w:rFonts w:cs="Times New Roman"/>
          <w:sz w:val="28"/>
          <w:szCs w:val="28"/>
        </w:rPr>
        <w:t xml:space="preserve"> плівок на поверхні металу.</w:t>
      </w:r>
    </w:p>
    <w:p w14:paraId="69792C14" w14:textId="77777777" w:rsidR="00447CBC" w:rsidRPr="00447CBC" w:rsidRDefault="00447CBC" w:rsidP="00447CBC">
      <w:pPr>
        <w:spacing w:line="276" w:lineRule="auto"/>
        <w:jc w:val="both"/>
        <w:rPr>
          <w:rFonts w:cs="Times New Roman"/>
          <w:sz w:val="28"/>
          <w:szCs w:val="28"/>
        </w:rPr>
      </w:pPr>
      <w:r w:rsidRPr="00447CBC">
        <w:rPr>
          <w:rFonts w:cs="Times New Roman"/>
          <w:sz w:val="28"/>
          <w:szCs w:val="28"/>
        </w:rPr>
        <w:t>Цинкування металоконструкцій тваринницьких ферм має ряд суттєвих технологічних недоліків.</w:t>
      </w:r>
    </w:p>
    <w:p w14:paraId="689CDB65" w14:textId="77777777" w:rsidR="00447CBC" w:rsidRPr="00447CBC" w:rsidRDefault="00447CBC" w:rsidP="00447CBC">
      <w:pPr>
        <w:spacing w:line="276" w:lineRule="auto"/>
        <w:jc w:val="both"/>
        <w:rPr>
          <w:rFonts w:cs="Times New Roman"/>
          <w:sz w:val="28"/>
          <w:szCs w:val="28"/>
        </w:rPr>
      </w:pPr>
      <w:r w:rsidRPr="00447CBC">
        <w:rPr>
          <w:rFonts w:cs="Times New Roman"/>
          <w:sz w:val="28"/>
          <w:szCs w:val="28"/>
        </w:rPr>
        <w:t xml:space="preserve">Цинкові покриття не підлягають відновленню на об'єктах експлуатації. Гаряче цинкування вимагає значних виробничих площ (1400-2000 м2 замість </w:t>
      </w:r>
      <w:r w:rsidRPr="00447CBC">
        <w:rPr>
          <w:rFonts w:cs="Times New Roman"/>
          <w:sz w:val="28"/>
          <w:szCs w:val="28"/>
        </w:rPr>
        <w:lastRenderedPageBreak/>
        <w:t>650-750 м2 для організації лакофарбових покриттів). Гаряче цинкування складно реалізувати при великих монтажних вузлах систем водопостачання та опалення. Ванни для цинкування потребують цілодобове підтримання заданої температури (420-430 °С), що в умовах двозмінної роботи пов'язане з додатковим споживанням електроенергії. Цинкування вимагає значних капітальних витрат на основне і допоміжне обладнання, на будівництво очисних споруд.</w:t>
      </w:r>
    </w:p>
    <w:p w14:paraId="6499B39D" w14:textId="77777777" w:rsidR="00447CBC" w:rsidRPr="00447CBC" w:rsidRDefault="00447CBC" w:rsidP="00447CBC">
      <w:pPr>
        <w:spacing w:line="276" w:lineRule="auto"/>
        <w:jc w:val="both"/>
        <w:rPr>
          <w:rFonts w:cs="Times New Roman"/>
          <w:sz w:val="28"/>
          <w:szCs w:val="28"/>
        </w:rPr>
      </w:pPr>
      <w:r w:rsidRPr="00447CBC">
        <w:rPr>
          <w:rFonts w:cs="Times New Roman"/>
          <w:sz w:val="28"/>
          <w:szCs w:val="28"/>
        </w:rPr>
        <w:t>Для створення ефективних покриттів на основі лакофарбових матеріалів були проведені лабораторні, натурні та виробничі дослідження 12 видів перспективних покриттів. Лакофарбові покриття мають відмінну адгезію до металів, середню твердість і стійкість до механічних пошкоджень. Їх зручно наносити будь-якими механічними засобами. Захисну плівку на об’єкті завжди можна заново покрити новим шаром: при цьому немає ніяких складнощів в плані забезпечення надійної адгезії і ніякого демонтажу металоконструкцій.</w:t>
      </w:r>
    </w:p>
    <w:p w14:paraId="778C8CE3" w14:textId="77777777" w:rsidR="00447CBC" w:rsidRPr="00447CBC" w:rsidRDefault="00447CBC" w:rsidP="00447CBC">
      <w:pPr>
        <w:spacing w:line="276" w:lineRule="auto"/>
        <w:jc w:val="both"/>
        <w:rPr>
          <w:rFonts w:cs="Times New Roman"/>
          <w:sz w:val="28"/>
          <w:szCs w:val="28"/>
        </w:rPr>
      </w:pPr>
      <w:r w:rsidRPr="00447CBC">
        <w:rPr>
          <w:rFonts w:cs="Times New Roman"/>
          <w:sz w:val="28"/>
          <w:szCs w:val="28"/>
        </w:rPr>
        <w:t xml:space="preserve">В результаті досліджень було виявлено 5 видів найбільш стійких лакофарбових матеріалів, що випускаються вітчизняною промисловістю: органічні емалі ХВ-1100, ЕП-773, ХСЕ-23, ЕП-140, МЛ-12К. Серед них особливо перспективна емаль ХВ-1100. Вона надійно захищає поверхню металу (по довговічності не поступається цинковим покриттям) від корозійного руйнування, досить стійка при біологічному впливі, має хороші механічні властивості (міцність плівки на згин 1 мм, ударна в'язкість 35-40 </w:t>
      </w:r>
      <w:proofErr w:type="spellStart"/>
      <w:r w:rsidRPr="00447CBC">
        <w:rPr>
          <w:rFonts w:cs="Times New Roman"/>
          <w:sz w:val="28"/>
          <w:szCs w:val="28"/>
        </w:rPr>
        <w:t>кгс</w:t>
      </w:r>
      <w:proofErr w:type="spellEnd"/>
      <w:r w:rsidRPr="00447CBC">
        <w:rPr>
          <w:rFonts w:cs="Times New Roman"/>
          <w:sz w:val="28"/>
          <w:szCs w:val="28"/>
        </w:rPr>
        <w:t>/см), має відмінну адгезію і низьку вартість. Вартість покриттів на основі емалі в 2-3 рази менше, ніж вартість цинкових покриттів.</w:t>
      </w:r>
    </w:p>
    <w:p w14:paraId="6605CE28" w14:textId="77777777" w:rsidR="00447CBC" w:rsidRPr="00447CBC" w:rsidRDefault="00447CBC" w:rsidP="00447CBC">
      <w:pPr>
        <w:spacing w:line="276" w:lineRule="auto"/>
        <w:jc w:val="both"/>
        <w:rPr>
          <w:rFonts w:cs="Times New Roman"/>
          <w:sz w:val="28"/>
          <w:szCs w:val="28"/>
        </w:rPr>
      </w:pPr>
      <w:r w:rsidRPr="00447CBC">
        <w:rPr>
          <w:rFonts w:cs="Times New Roman"/>
          <w:sz w:val="28"/>
          <w:szCs w:val="28"/>
        </w:rPr>
        <w:t xml:space="preserve">У літературі широко обговорювалися переваги покриттів на основі </w:t>
      </w:r>
      <w:proofErr w:type="spellStart"/>
      <w:r w:rsidRPr="00447CBC">
        <w:rPr>
          <w:rFonts w:cs="Times New Roman"/>
          <w:sz w:val="28"/>
          <w:szCs w:val="28"/>
        </w:rPr>
        <w:t>органосилікатних</w:t>
      </w:r>
      <w:proofErr w:type="spellEnd"/>
      <w:r w:rsidRPr="00447CBC">
        <w:rPr>
          <w:rFonts w:cs="Times New Roman"/>
          <w:sz w:val="28"/>
          <w:szCs w:val="28"/>
        </w:rPr>
        <w:t xml:space="preserve"> матеріалів типу ВН-30, що наносяться товщиною 150-200 </w:t>
      </w:r>
      <w:proofErr w:type="spellStart"/>
      <w:r w:rsidRPr="00447CBC">
        <w:rPr>
          <w:rFonts w:cs="Times New Roman"/>
          <w:sz w:val="28"/>
          <w:szCs w:val="28"/>
        </w:rPr>
        <w:t>мкм</w:t>
      </w:r>
      <w:proofErr w:type="spellEnd"/>
      <w:r w:rsidRPr="00447CBC">
        <w:rPr>
          <w:rFonts w:cs="Times New Roman"/>
          <w:sz w:val="28"/>
          <w:szCs w:val="28"/>
        </w:rPr>
        <w:t xml:space="preserve">. В дослідженнях, коли товщина шару на основі BH-30 була близькою до товщини інших покриттів (61,1 </w:t>
      </w:r>
      <w:proofErr w:type="spellStart"/>
      <w:r w:rsidRPr="00447CBC">
        <w:rPr>
          <w:rFonts w:cs="Times New Roman"/>
          <w:sz w:val="28"/>
          <w:szCs w:val="28"/>
        </w:rPr>
        <w:t>мкм</w:t>
      </w:r>
      <w:proofErr w:type="spellEnd"/>
      <w:r w:rsidRPr="00447CBC">
        <w:rPr>
          <w:rFonts w:cs="Times New Roman"/>
          <w:sz w:val="28"/>
          <w:szCs w:val="28"/>
        </w:rPr>
        <w:t xml:space="preserve">), цей матеріал показав низьку захисну стійкість: протягом двох років зруйнувалось до 90-95% </w:t>
      </w:r>
      <w:proofErr w:type="spellStart"/>
      <w:r w:rsidRPr="00447CBC">
        <w:rPr>
          <w:rFonts w:cs="Times New Roman"/>
          <w:sz w:val="28"/>
          <w:szCs w:val="28"/>
        </w:rPr>
        <w:t>захистного</w:t>
      </w:r>
      <w:proofErr w:type="spellEnd"/>
      <w:r w:rsidRPr="00447CBC">
        <w:rPr>
          <w:rFonts w:cs="Times New Roman"/>
          <w:sz w:val="28"/>
          <w:szCs w:val="28"/>
        </w:rPr>
        <w:t xml:space="preserve"> шару. Причиною є погана суцільність дорожнього покриття. Нанесення </w:t>
      </w:r>
      <w:proofErr w:type="spellStart"/>
      <w:r w:rsidRPr="00447CBC">
        <w:rPr>
          <w:rFonts w:cs="Times New Roman"/>
          <w:sz w:val="28"/>
          <w:szCs w:val="28"/>
        </w:rPr>
        <w:t>органосилікатних</w:t>
      </w:r>
      <w:proofErr w:type="spellEnd"/>
      <w:r w:rsidRPr="00447CBC">
        <w:rPr>
          <w:rFonts w:cs="Times New Roman"/>
          <w:sz w:val="28"/>
          <w:szCs w:val="28"/>
        </w:rPr>
        <w:t xml:space="preserve"> матеріалів рекомендованої товщини нетехнологічне в умовах виготовлення і захисту монтажних систем водопостачання, опалення, вентиляції, стійлового огородження та інших металоконструкцій і обходиться приблизно в 10 разів дорожче, ніж використання емалі ХВ-1100.</w:t>
      </w:r>
    </w:p>
    <w:p w14:paraId="07C2D1BD" w14:textId="77777777" w:rsidR="00447CBC" w:rsidRPr="00447CBC" w:rsidRDefault="00447CBC" w:rsidP="00447CBC">
      <w:pPr>
        <w:spacing w:line="276" w:lineRule="auto"/>
        <w:jc w:val="both"/>
        <w:rPr>
          <w:rFonts w:cs="Times New Roman"/>
          <w:sz w:val="28"/>
          <w:szCs w:val="28"/>
        </w:rPr>
      </w:pPr>
      <w:r w:rsidRPr="00447CBC">
        <w:rPr>
          <w:rFonts w:cs="Times New Roman"/>
          <w:sz w:val="28"/>
          <w:szCs w:val="28"/>
        </w:rPr>
        <w:t>Дослідженнями встановлено, що передчасне руйнування лакофарбових покриттів на 30-60% пов'язане з поганою підготовкою поверхні під покриття. При цьому витрати на підготовку основи складають до 30% від загальної вартості захисту.</w:t>
      </w:r>
    </w:p>
    <w:p w14:paraId="57F50724" w14:textId="77777777" w:rsidR="00447CBC" w:rsidRPr="00447CBC" w:rsidRDefault="00447CBC" w:rsidP="00447CBC">
      <w:pPr>
        <w:spacing w:line="276" w:lineRule="auto"/>
        <w:jc w:val="both"/>
        <w:rPr>
          <w:rFonts w:cs="Times New Roman"/>
          <w:sz w:val="28"/>
          <w:szCs w:val="28"/>
        </w:rPr>
      </w:pPr>
      <w:r w:rsidRPr="00447CBC">
        <w:rPr>
          <w:rFonts w:cs="Times New Roman"/>
          <w:sz w:val="28"/>
          <w:szCs w:val="28"/>
        </w:rPr>
        <w:t xml:space="preserve">При антикорозійному захисті металевих конструкцій ферм не приділяється належної уваги підготовці поверхні. Підготовка поверхні особливо незадовільна при оновленні покриттів на об'єктах експлуатації. Це пов'язано з широким розмаїттям металевих виробів, що підлягають захисту, відсутністю належного обладнання та виробничих площ для його розміщення. Застосування </w:t>
      </w:r>
      <w:r w:rsidRPr="00447CBC">
        <w:rPr>
          <w:rFonts w:cs="Times New Roman"/>
          <w:sz w:val="28"/>
          <w:szCs w:val="28"/>
        </w:rPr>
        <w:lastRenderedPageBreak/>
        <w:t>перетворювачів іржі дає можливість спростити і знизити витрати на підготовку поверхні. Їх використання знижує витрати на підготовку поверхні в 1,5-2,0 рази, підвищує довговічність покриттів і покращує умови праці.</w:t>
      </w:r>
    </w:p>
    <w:p w14:paraId="6E1FD4DB" w14:textId="77777777" w:rsidR="00447CBC" w:rsidRPr="00447CBC" w:rsidRDefault="00447CBC" w:rsidP="00447CBC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5635BB29" w14:textId="77777777" w:rsidR="00447CBC" w:rsidRPr="00447CBC" w:rsidRDefault="00447CBC" w:rsidP="00447CBC">
      <w:pPr>
        <w:spacing w:line="276" w:lineRule="auto"/>
        <w:ind w:firstLine="0"/>
        <w:jc w:val="center"/>
        <w:rPr>
          <w:rFonts w:cs="Times New Roman"/>
          <w:b/>
          <w:bCs/>
          <w:sz w:val="28"/>
          <w:szCs w:val="28"/>
        </w:rPr>
      </w:pPr>
      <w:r w:rsidRPr="00447CBC">
        <w:rPr>
          <w:rFonts w:cs="Times New Roman"/>
          <w:b/>
          <w:bCs/>
          <w:sz w:val="28"/>
          <w:szCs w:val="28"/>
        </w:rPr>
        <w:t>Список літературних джерел</w:t>
      </w:r>
    </w:p>
    <w:p w14:paraId="24C282CC" w14:textId="77777777" w:rsidR="00447CBC" w:rsidRPr="00447CBC" w:rsidRDefault="00447CBC" w:rsidP="00447CBC">
      <w:pPr>
        <w:spacing w:line="276" w:lineRule="auto"/>
        <w:jc w:val="both"/>
        <w:rPr>
          <w:rFonts w:cs="Times New Roman"/>
          <w:sz w:val="28"/>
          <w:szCs w:val="28"/>
        </w:rPr>
      </w:pPr>
      <w:r w:rsidRPr="00447CBC">
        <w:rPr>
          <w:rFonts w:cs="Times New Roman"/>
          <w:sz w:val="28"/>
          <w:szCs w:val="28"/>
        </w:rPr>
        <w:t xml:space="preserve">1. Мельник В.І. </w:t>
      </w:r>
      <w:proofErr w:type="spellStart"/>
      <w:r w:rsidRPr="00447CBC">
        <w:rPr>
          <w:rFonts w:cs="Times New Roman"/>
          <w:sz w:val="28"/>
          <w:szCs w:val="28"/>
        </w:rPr>
        <w:t>Ружило</w:t>
      </w:r>
      <w:proofErr w:type="spellEnd"/>
      <w:r w:rsidRPr="00447CBC">
        <w:rPr>
          <w:rFonts w:cs="Times New Roman"/>
          <w:sz w:val="28"/>
          <w:szCs w:val="28"/>
        </w:rPr>
        <w:t xml:space="preserve"> З.В., Мельник В.І., Новицький А.В., Ревенко Ю.І., Бистрий О.М., Попик П.С. Надійність машин та обладнання. Ремонтування машин та відновлення деталей. Том 2. Навчальний посібник: НУБіП України. Київ. 2023. 313 с.</w:t>
      </w:r>
    </w:p>
    <w:p w14:paraId="5520886D" w14:textId="77777777" w:rsidR="00447CBC" w:rsidRPr="00447CBC" w:rsidRDefault="00447CBC" w:rsidP="00447CBC">
      <w:pPr>
        <w:spacing w:line="276" w:lineRule="auto"/>
        <w:jc w:val="both"/>
        <w:rPr>
          <w:rFonts w:cs="Times New Roman"/>
          <w:sz w:val="28"/>
          <w:szCs w:val="28"/>
        </w:rPr>
      </w:pPr>
      <w:r w:rsidRPr="00447CBC">
        <w:rPr>
          <w:rFonts w:cs="Times New Roman"/>
          <w:sz w:val="28"/>
          <w:szCs w:val="28"/>
        </w:rPr>
        <w:t xml:space="preserve">2. </w:t>
      </w:r>
      <w:proofErr w:type="spellStart"/>
      <w:r w:rsidRPr="00447CBC">
        <w:rPr>
          <w:rFonts w:cs="Times New Roman"/>
          <w:sz w:val="28"/>
          <w:szCs w:val="28"/>
        </w:rPr>
        <w:t>Rogovskii</w:t>
      </w:r>
      <w:proofErr w:type="spellEnd"/>
      <w:r w:rsidRPr="00447CBC">
        <w:rPr>
          <w:rFonts w:cs="Times New Roman"/>
          <w:sz w:val="28"/>
          <w:szCs w:val="28"/>
        </w:rPr>
        <w:t xml:space="preserve"> I.L., </w:t>
      </w:r>
      <w:proofErr w:type="spellStart"/>
      <w:r w:rsidRPr="00447CBC">
        <w:rPr>
          <w:rFonts w:cs="Times New Roman"/>
          <w:sz w:val="28"/>
          <w:szCs w:val="28"/>
        </w:rPr>
        <w:t>Titova</w:t>
      </w:r>
      <w:proofErr w:type="spellEnd"/>
      <w:r w:rsidRPr="00447CBC">
        <w:rPr>
          <w:rFonts w:cs="Times New Roman"/>
          <w:sz w:val="28"/>
          <w:szCs w:val="28"/>
        </w:rPr>
        <w:t xml:space="preserve"> L.L., </w:t>
      </w:r>
      <w:proofErr w:type="spellStart"/>
      <w:r w:rsidRPr="00447CBC">
        <w:rPr>
          <w:rFonts w:cs="Times New Roman"/>
          <w:sz w:val="28"/>
          <w:szCs w:val="28"/>
        </w:rPr>
        <w:t>Trokhaniak</w:t>
      </w:r>
      <w:proofErr w:type="spellEnd"/>
      <w:r w:rsidRPr="00447CBC">
        <w:rPr>
          <w:rFonts w:cs="Times New Roman"/>
          <w:sz w:val="28"/>
          <w:szCs w:val="28"/>
        </w:rPr>
        <w:t xml:space="preserve"> V.I., </w:t>
      </w:r>
      <w:proofErr w:type="spellStart"/>
      <w:r w:rsidRPr="00447CBC">
        <w:rPr>
          <w:rFonts w:cs="Times New Roman"/>
          <w:sz w:val="28"/>
          <w:szCs w:val="28"/>
        </w:rPr>
        <w:t>Solomka</w:t>
      </w:r>
      <w:proofErr w:type="spellEnd"/>
      <w:r w:rsidRPr="00447CBC">
        <w:rPr>
          <w:rFonts w:cs="Times New Roman"/>
          <w:sz w:val="28"/>
          <w:szCs w:val="28"/>
        </w:rPr>
        <w:t xml:space="preserve"> O.V., </w:t>
      </w:r>
      <w:proofErr w:type="spellStart"/>
      <w:r w:rsidRPr="00447CBC">
        <w:rPr>
          <w:rFonts w:cs="Times New Roman"/>
          <w:sz w:val="28"/>
          <w:szCs w:val="28"/>
        </w:rPr>
        <w:t>Popyk</w:t>
      </w:r>
      <w:proofErr w:type="spellEnd"/>
      <w:r w:rsidRPr="00447CBC">
        <w:rPr>
          <w:rFonts w:cs="Times New Roman"/>
          <w:sz w:val="28"/>
          <w:szCs w:val="28"/>
        </w:rPr>
        <w:t xml:space="preserve"> P.S., </w:t>
      </w:r>
      <w:proofErr w:type="spellStart"/>
      <w:r w:rsidRPr="00447CBC">
        <w:rPr>
          <w:rFonts w:cs="Times New Roman"/>
          <w:sz w:val="28"/>
          <w:szCs w:val="28"/>
        </w:rPr>
        <w:t>Shvidia</w:t>
      </w:r>
      <w:proofErr w:type="spellEnd"/>
      <w:r w:rsidRPr="00447CBC">
        <w:rPr>
          <w:rFonts w:cs="Times New Roman"/>
          <w:sz w:val="28"/>
          <w:szCs w:val="28"/>
        </w:rPr>
        <w:t xml:space="preserve"> V.O., </w:t>
      </w:r>
      <w:proofErr w:type="spellStart"/>
      <w:r w:rsidRPr="00447CBC">
        <w:rPr>
          <w:rFonts w:cs="Times New Roman"/>
          <w:sz w:val="28"/>
          <w:szCs w:val="28"/>
        </w:rPr>
        <w:t>Stepanenko</w:t>
      </w:r>
      <w:proofErr w:type="spellEnd"/>
      <w:r w:rsidRPr="00447CBC">
        <w:rPr>
          <w:rFonts w:cs="Times New Roman"/>
          <w:sz w:val="28"/>
          <w:szCs w:val="28"/>
        </w:rPr>
        <w:t xml:space="preserve"> S.P. </w:t>
      </w:r>
      <w:proofErr w:type="spellStart"/>
      <w:r w:rsidRPr="00447CBC">
        <w:rPr>
          <w:rFonts w:cs="Times New Roman"/>
          <w:sz w:val="28"/>
          <w:szCs w:val="28"/>
        </w:rPr>
        <w:t>Experimental</w:t>
      </w:r>
      <w:proofErr w:type="spellEnd"/>
      <w:r w:rsidRPr="00447CBC">
        <w:rPr>
          <w:rFonts w:cs="Times New Roman"/>
          <w:sz w:val="28"/>
          <w:szCs w:val="28"/>
        </w:rPr>
        <w:t xml:space="preserve"> </w:t>
      </w:r>
      <w:proofErr w:type="spellStart"/>
      <w:r w:rsidRPr="00447CBC">
        <w:rPr>
          <w:rFonts w:cs="Times New Roman"/>
          <w:sz w:val="28"/>
          <w:szCs w:val="28"/>
        </w:rPr>
        <w:t>studies</w:t>
      </w:r>
      <w:proofErr w:type="spellEnd"/>
      <w:r w:rsidRPr="00447CBC">
        <w:rPr>
          <w:rFonts w:cs="Times New Roman"/>
          <w:sz w:val="28"/>
          <w:szCs w:val="28"/>
        </w:rPr>
        <w:t xml:space="preserve"> </w:t>
      </w:r>
      <w:proofErr w:type="spellStart"/>
      <w:r w:rsidRPr="00447CBC">
        <w:rPr>
          <w:rFonts w:cs="Times New Roman"/>
          <w:sz w:val="28"/>
          <w:szCs w:val="28"/>
        </w:rPr>
        <w:t>on</w:t>
      </w:r>
      <w:proofErr w:type="spellEnd"/>
      <w:r w:rsidRPr="00447CBC">
        <w:rPr>
          <w:rFonts w:cs="Times New Roman"/>
          <w:sz w:val="28"/>
          <w:szCs w:val="28"/>
        </w:rPr>
        <w:t xml:space="preserve"> </w:t>
      </w:r>
      <w:proofErr w:type="spellStart"/>
      <w:r w:rsidRPr="00447CBC">
        <w:rPr>
          <w:rFonts w:cs="Times New Roman"/>
          <w:sz w:val="28"/>
          <w:szCs w:val="28"/>
        </w:rPr>
        <w:t>drying</w:t>
      </w:r>
      <w:proofErr w:type="spellEnd"/>
      <w:r w:rsidRPr="00447CBC">
        <w:rPr>
          <w:rFonts w:cs="Times New Roman"/>
          <w:sz w:val="28"/>
          <w:szCs w:val="28"/>
        </w:rPr>
        <w:t xml:space="preserve"> </w:t>
      </w:r>
      <w:proofErr w:type="spellStart"/>
      <w:r w:rsidRPr="00447CBC">
        <w:rPr>
          <w:rFonts w:cs="Times New Roman"/>
          <w:sz w:val="28"/>
          <w:szCs w:val="28"/>
        </w:rPr>
        <w:t>conditions</w:t>
      </w:r>
      <w:proofErr w:type="spellEnd"/>
      <w:r w:rsidRPr="00447CBC">
        <w:rPr>
          <w:rFonts w:cs="Times New Roman"/>
          <w:sz w:val="28"/>
          <w:szCs w:val="28"/>
        </w:rPr>
        <w:t xml:space="preserve"> </w:t>
      </w:r>
      <w:proofErr w:type="spellStart"/>
      <w:r w:rsidRPr="00447CBC">
        <w:rPr>
          <w:rFonts w:cs="Times New Roman"/>
          <w:sz w:val="28"/>
          <w:szCs w:val="28"/>
        </w:rPr>
        <w:t>of</w:t>
      </w:r>
      <w:proofErr w:type="spellEnd"/>
      <w:r w:rsidRPr="00447CBC">
        <w:rPr>
          <w:rFonts w:cs="Times New Roman"/>
          <w:sz w:val="28"/>
          <w:szCs w:val="28"/>
        </w:rPr>
        <w:t xml:space="preserve"> </w:t>
      </w:r>
      <w:proofErr w:type="spellStart"/>
      <w:r w:rsidRPr="00447CBC">
        <w:rPr>
          <w:rFonts w:cs="Times New Roman"/>
          <w:sz w:val="28"/>
          <w:szCs w:val="28"/>
        </w:rPr>
        <w:t>grain</w:t>
      </w:r>
      <w:proofErr w:type="spellEnd"/>
      <w:r w:rsidRPr="00447CBC">
        <w:rPr>
          <w:rFonts w:cs="Times New Roman"/>
          <w:sz w:val="28"/>
          <w:szCs w:val="28"/>
        </w:rPr>
        <w:t xml:space="preserve"> </w:t>
      </w:r>
      <w:proofErr w:type="spellStart"/>
      <w:r w:rsidRPr="00447CBC">
        <w:rPr>
          <w:rFonts w:cs="Times New Roman"/>
          <w:sz w:val="28"/>
          <w:szCs w:val="28"/>
        </w:rPr>
        <w:t>crops</w:t>
      </w:r>
      <w:proofErr w:type="spellEnd"/>
      <w:r w:rsidRPr="00447CBC">
        <w:rPr>
          <w:rFonts w:cs="Times New Roman"/>
          <w:sz w:val="28"/>
          <w:szCs w:val="28"/>
        </w:rPr>
        <w:t xml:space="preserve"> </w:t>
      </w:r>
      <w:proofErr w:type="spellStart"/>
      <w:r w:rsidRPr="00447CBC">
        <w:rPr>
          <w:rFonts w:cs="Times New Roman"/>
          <w:sz w:val="28"/>
          <w:szCs w:val="28"/>
        </w:rPr>
        <w:t>with</w:t>
      </w:r>
      <w:proofErr w:type="spellEnd"/>
      <w:r w:rsidRPr="00447CBC">
        <w:rPr>
          <w:rFonts w:cs="Times New Roman"/>
          <w:sz w:val="28"/>
          <w:szCs w:val="28"/>
        </w:rPr>
        <w:t xml:space="preserve"> </w:t>
      </w:r>
      <w:proofErr w:type="spellStart"/>
      <w:r w:rsidRPr="00447CBC">
        <w:rPr>
          <w:rFonts w:cs="Times New Roman"/>
          <w:sz w:val="28"/>
          <w:szCs w:val="28"/>
        </w:rPr>
        <w:t>high</w:t>
      </w:r>
      <w:proofErr w:type="spellEnd"/>
      <w:r w:rsidRPr="00447CBC">
        <w:rPr>
          <w:rFonts w:cs="Times New Roman"/>
          <w:sz w:val="28"/>
          <w:szCs w:val="28"/>
        </w:rPr>
        <w:t xml:space="preserve"> </w:t>
      </w:r>
      <w:proofErr w:type="spellStart"/>
      <w:r w:rsidRPr="00447CBC">
        <w:rPr>
          <w:rFonts w:cs="Times New Roman"/>
          <w:sz w:val="28"/>
          <w:szCs w:val="28"/>
        </w:rPr>
        <w:t>moisture</w:t>
      </w:r>
      <w:proofErr w:type="spellEnd"/>
      <w:r w:rsidRPr="00447CBC">
        <w:rPr>
          <w:rFonts w:cs="Times New Roman"/>
          <w:sz w:val="28"/>
          <w:szCs w:val="28"/>
        </w:rPr>
        <w:t xml:space="preserve"> </w:t>
      </w:r>
      <w:proofErr w:type="spellStart"/>
      <w:r w:rsidRPr="00447CBC">
        <w:rPr>
          <w:rFonts w:cs="Times New Roman"/>
          <w:sz w:val="28"/>
          <w:szCs w:val="28"/>
        </w:rPr>
        <w:t>content</w:t>
      </w:r>
      <w:proofErr w:type="spellEnd"/>
      <w:r w:rsidRPr="00447CBC">
        <w:rPr>
          <w:rFonts w:cs="Times New Roman"/>
          <w:sz w:val="28"/>
          <w:szCs w:val="28"/>
        </w:rPr>
        <w:t xml:space="preserve"> </w:t>
      </w:r>
      <w:proofErr w:type="spellStart"/>
      <w:r w:rsidRPr="00447CBC">
        <w:rPr>
          <w:rFonts w:cs="Times New Roman"/>
          <w:sz w:val="28"/>
          <w:szCs w:val="28"/>
        </w:rPr>
        <w:t>in</w:t>
      </w:r>
      <w:proofErr w:type="spellEnd"/>
      <w:r w:rsidRPr="00447CBC">
        <w:rPr>
          <w:rFonts w:cs="Times New Roman"/>
          <w:sz w:val="28"/>
          <w:szCs w:val="28"/>
        </w:rPr>
        <w:t xml:space="preserve"> </w:t>
      </w:r>
      <w:proofErr w:type="spellStart"/>
      <w:r w:rsidRPr="00447CBC">
        <w:rPr>
          <w:rFonts w:cs="Times New Roman"/>
          <w:sz w:val="28"/>
          <w:szCs w:val="28"/>
        </w:rPr>
        <w:t>low-pressure</w:t>
      </w:r>
      <w:proofErr w:type="spellEnd"/>
      <w:r w:rsidRPr="00447CBC">
        <w:rPr>
          <w:rFonts w:cs="Times New Roman"/>
          <w:sz w:val="28"/>
          <w:szCs w:val="28"/>
        </w:rPr>
        <w:t xml:space="preserve"> </w:t>
      </w:r>
      <w:proofErr w:type="spellStart"/>
      <w:r w:rsidRPr="00447CBC">
        <w:rPr>
          <w:rFonts w:cs="Times New Roman"/>
          <w:sz w:val="28"/>
          <w:szCs w:val="28"/>
        </w:rPr>
        <w:t>environment</w:t>
      </w:r>
      <w:proofErr w:type="spellEnd"/>
      <w:r w:rsidRPr="00447CBC">
        <w:rPr>
          <w:rFonts w:cs="Times New Roman"/>
          <w:sz w:val="28"/>
          <w:szCs w:val="28"/>
        </w:rPr>
        <w:t xml:space="preserve">. INMATEH: </w:t>
      </w:r>
      <w:proofErr w:type="spellStart"/>
      <w:r w:rsidRPr="00447CBC">
        <w:rPr>
          <w:rFonts w:cs="Times New Roman"/>
          <w:sz w:val="28"/>
          <w:szCs w:val="28"/>
        </w:rPr>
        <w:t>Agricultural</w:t>
      </w:r>
      <w:proofErr w:type="spellEnd"/>
      <w:r w:rsidRPr="00447CBC">
        <w:rPr>
          <w:rFonts w:cs="Times New Roman"/>
          <w:sz w:val="28"/>
          <w:szCs w:val="28"/>
        </w:rPr>
        <w:t xml:space="preserve"> </w:t>
      </w:r>
      <w:proofErr w:type="spellStart"/>
      <w:r w:rsidRPr="00447CBC">
        <w:rPr>
          <w:rFonts w:cs="Times New Roman"/>
          <w:sz w:val="28"/>
          <w:szCs w:val="28"/>
        </w:rPr>
        <w:t>Engineering</w:t>
      </w:r>
      <w:proofErr w:type="spellEnd"/>
      <w:r w:rsidRPr="00447CBC">
        <w:rPr>
          <w:rFonts w:cs="Times New Roman"/>
          <w:sz w:val="28"/>
          <w:szCs w:val="28"/>
        </w:rPr>
        <w:t xml:space="preserve">, 2019, </w:t>
      </w:r>
      <w:proofErr w:type="spellStart"/>
      <w:r w:rsidRPr="00447CBC">
        <w:rPr>
          <w:rFonts w:cs="Times New Roman"/>
          <w:sz w:val="28"/>
          <w:szCs w:val="28"/>
        </w:rPr>
        <w:t>vol</w:t>
      </w:r>
      <w:proofErr w:type="spellEnd"/>
      <w:r w:rsidRPr="00447CBC">
        <w:rPr>
          <w:rFonts w:cs="Times New Roman"/>
          <w:sz w:val="28"/>
          <w:szCs w:val="28"/>
        </w:rPr>
        <w:t xml:space="preserve">. 57, </w:t>
      </w:r>
      <w:proofErr w:type="spellStart"/>
      <w:r w:rsidRPr="00447CBC">
        <w:rPr>
          <w:rFonts w:cs="Times New Roman"/>
          <w:sz w:val="28"/>
          <w:szCs w:val="28"/>
        </w:rPr>
        <w:t>pp</w:t>
      </w:r>
      <w:proofErr w:type="spellEnd"/>
      <w:r w:rsidRPr="00447CBC">
        <w:rPr>
          <w:rFonts w:cs="Times New Roman"/>
          <w:sz w:val="28"/>
          <w:szCs w:val="28"/>
        </w:rPr>
        <w:t xml:space="preserve">. 141-146, </w:t>
      </w:r>
      <w:proofErr w:type="spellStart"/>
      <w:r w:rsidRPr="00447CBC">
        <w:rPr>
          <w:rFonts w:cs="Times New Roman"/>
          <w:sz w:val="28"/>
          <w:szCs w:val="28"/>
        </w:rPr>
        <w:t>Bucharest</w:t>
      </w:r>
      <w:proofErr w:type="spellEnd"/>
      <w:r w:rsidRPr="00447CBC">
        <w:rPr>
          <w:rFonts w:cs="Times New Roman"/>
          <w:sz w:val="28"/>
          <w:szCs w:val="28"/>
        </w:rPr>
        <w:t xml:space="preserve">, </w:t>
      </w:r>
      <w:proofErr w:type="spellStart"/>
      <w:r w:rsidRPr="00447CBC">
        <w:rPr>
          <w:rFonts w:cs="Times New Roman"/>
          <w:sz w:val="28"/>
          <w:szCs w:val="28"/>
        </w:rPr>
        <w:t>Romania</w:t>
      </w:r>
      <w:proofErr w:type="spellEnd"/>
      <w:r w:rsidRPr="00447CBC">
        <w:rPr>
          <w:rFonts w:cs="Times New Roman"/>
          <w:sz w:val="28"/>
          <w:szCs w:val="28"/>
        </w:rPr>
        <w:t>.</w:t>
      </w:r>
    </w:p>
    <w:p w14:paraId="531A5F46" w14:textId="5C1E9FE7" w:rsidR="00B96674" w:rsidRPr="00B96674" w:rsidRDefault="00447CBC" w:rsidP="00447CBC">
      <w:pPr>
        <w:spacing w:line="276" w:lineRule="auto"/>
        <w:jc w:val="both"/>
        <w:rPr>
          <w:rFonts w:cs="Times New Roman"/>
          <w:sz w:val="28"/>
          <w:szCs w:val="28"/>
        </w:rPr>
      </w:pPr>
      <w:r w:rsidRPr="00447CBC">
        <w:rPr>
          <w:rFonts w:cs="Times New Roman"/>
          <w:sz w:val="28"/>
          <w:szCs w:val="28"/>
        </w:rPr>
        <w:t xml:space="preserve">3. Технічний сервіс в АПК: навчально-методичний посібник для самостійної роботи студентів / Ю.Г. </w:t>
      </w:r>
      <w:proofErr w:type="spellStart"/>
      <w:r w:rsidRPr="00447CBC">
        <w:rPr>
          <w:rFonts w:cs="Times New Roman"/>
          <w:sz w:val="28"/>
          <w:szCs w:val="28"/>
        </w:rPr>
        <w:t>Сорваніді</w:t>
      </w:r>
      <w:proofErr w:type="spellEnd"/>
      <w:r w:rsidRPr="00447CBC">
        <w:rPr>
          <w:rFonts w:cs="Times New Roman"/>
          <w:sz w:val="28"/>
          <w:szCs w:val="28"/>
        </w:rPr>
        <w:t xml:space="preserve">, Д.П. Журавель, А.М. Бондар, О.Ю. </w:t>
      </w:r>
      <w:proofErr w:type="spellStart"/>
      <w:r w:rsidRPr="00447CBC">
        <w:rPr>
          <w:rFonts w:cs="Times New Roman"/>
          <w:sz w:val="28"/>
          <w:szCs w:val="28"/>
        </w:rPr>
        <w:t>Новік</w:t>
      </w:r>
      <w:proofErr w:type="spellEnd"/>
      <w:r w:rsidRPr="00447CBC">
        <w:rPr>
          <w:rFonts w:cs="Times New Roman"/>
          <w:sz w:val="28"/>
          <w:szCs w:val="28"/>
        </w:rPr>
        <w:t xml:space="preserve">. – Мелітополь: </w:t>
      </w:r>
      <w:proofErr w:type="spellStart"/>
      <w:r w:rsidRPr="00447CBC">
        <w:rPr>
          <w:rFonts w:cs="Times New Roman"/>
          <w:sz w:val="28"/>
          <w:szCs w:val="28"/>
        </w:rPr>
        <w:t>Видавничо</w:t>
      </w:r>
      <w:proofErr w:type="spellEnd"/>
      <w:r w:rsidRPr="00447CBC">
        <w:rPr>
          <w:rFonts w:cs="Times New Roman"/>
          <w:sz w:val="28"/>
          <w:szCs w:val="28"/>
        </w:rPr>
        <w:t>-поліграфічний центр «Люкс», 2021. - 157 с.</w:t>
      </w:r>
    </w:p>
    <w:sectPr w:rsidR="00B96674" w:rsidRPr="00B96674" w:rsidSect="00BE1822">
      <w:pgSz w:w="11907" w:h="16840" w:code="9"/>
      <w:pgMar w:top="851" w:right="851" w:bottom="851" w:left="1418" w:header="0" w:footer="6" w:gutter="0"/>
      <w:cols w:space="708"/>
      <w:noEndnote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8A0FD7"/>
    <w:multiLevelType w:val="hybridMultilevel"/>
    <w:tmpl w:val="D3864892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DB77B3B"/>
    <w:multiLevelType w:val="multilevel"/>
    <w:tmpl w:val="91BAF58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400B3125"/>
    <w:multiLevelType w:val="hybridMultilevel"/>
    <w:tmpl w:val="13F4CE06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FAD"/>
    <w:rsid w:val="0002415D"/>
    <w:rsid w:val="00043960"/>
    <w:rsid w:val="000C0A4D"/>
    <w:rsid w:val="00241324"/>
    <w:rsid w:val="002D20E7"/>
    <w:rsid w:val="00355DDC"/>
    <w:rsid w:val="00447CBC"/>
    <w:rsid w:val="004B7CB2"/>
    <w:rsid w:val="005460FC"/>
    <w:rsid w:val="005535D1"/>
    <w:rsid w:val="00557BD1"/>
    <w:rsid w:val="00576FA5"/>
    <w:rsid w:val="005D433B"/>
    <w:rsid w:val="0063782D"/>
    <w:rsid w:val="0066558B"/>
    <w:rsid w:val="00700658"/>
    <w:rsid w:val="00703DCD"/>
    <w:rsid w:val="00750106"/>
    <w:rsid w:val="00901A47"/>
    <w:rsid w:val="00995A9E"/>
    <w:rsid w:val="009D0567"/>
    <w:rsid w:val="009E358D"/>
    <w:rsid w:val="00A115F0"/>
    <w:rsid w:val="00A212EA"/>
    <w:rsid w:val="00A33FA7"/>
    <w:rsid w:val="00A51FAD"/>
    <w:rsid w:val="00B12080"/>
    <w:rsid w:val="00B96674"/>
    <w:rsid w:val="00BE1822"/>
    <w:rsid w:val="00BF36F6"/>
    <w:rsid w:val="00D072F7"/>
    <w:rsid w:val="00D60A92"/>
    <w:rsid w:val="00E95B21"/>
    <w:rsid w:val="00EC5F48"/>
    <w:rsid w:val="00F01F20"/>
    <w:rsid w:val="00F43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E4A26"/>
  <w15:docId w15:val="{112C95F1-C546-494A-AF39-F5710AB34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uk-UA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left"/>
    </w:pPr>
  </w:style>
  <w:style w:type="paragraph" w:styleId="3">
    <w:name w:val="heading 3"/>
    <w:basedOn w:val="a"/>
    <w:link w:val="30"/>
    <w:uiPriority w:val="9"/>
    <w:qFormat/>
    <w:rsid w:val="00A51FAD"/>
    <w:pPr>
      <w:widowControl/>
      <w:spacing w:before="100" w:beforeAutospacing="1" w:after="100" w:afterAutospacing="1"/>
      <w:ind w:firstLine="0"/>
      <w:outlineLvl w:val="2"/>
    </w:pPr>
    <w:rPr>
      <w:rFonts w:eastAsia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51FAD"/>
    <w:rPr>
      <w:rFonts w:eastAsia="Times New Roman" w:cs="Times New Roman"/>
      <w:b/>
      <w:bCs/>
      <w:sz w:val="27"/>
      <w:szCs w:val="27"/>
      <w:lang w:eastAsia="uk-UA"/>
    </w:rPr>
  </w:style>
  <w:style w:type="paragraph" w:styleId="a3">
    <w:name w:val="Normal (Web)"/>
    <w:basedOn w:val="a"/>
    <w:uiPriority w:val="99"/>
    <w:semiHidden/>
    <w:unhideWhenUsed/>
    <w:rsid w:val="00A51FAD"/>
    <w:pPr>
      <w:widowControl/>
      <w:spacing w:before="100" w:beforeAutospacing="1" w:after="100" w:afterAutospacing="1"/>
      <w:ind w:firstLine="0"/>
    </w:pPr>
    <w:rPr>
      <w:rFonts w:eastAsia="Times New Roman" w:cs="Times New Roman"/>
      <w:szCs w:val="24"/>
      <w:lang w:eastAsia="uk-UA"/>
    </w:rPr>
  </w:style>
  <w:style w:type="paragraph" w:styleId="a4">
    <w:name w:val="List Paragraph"/>
    <w:basedOn w:val="a"/>
    <w:uiPriority w:val="34"/>
    <w:qFormat/>
    <w:rsid w:val="00D072F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95A9E"/>
    <w:rPr>
      <w:rFonts w:ascii="Tahoma" w:hAnsi="Tahoma" w:cs="Tahoma"/>
      <w:sz w:val="16"/>
      <w:szCs w:val="16"/>
    </w:rPr>
  </w:style>
  <w:style w:type="character" w:customStyle="1" w:styleId="a6">
    <w:name w:val="Текст у виносці Знак"/>
    <w:basedOn w:val="a0"/>
    <w:link w:val="a5"/>
    <w:uiPriority w:val="99"/>
    <w:semiHidden/>
    <w:rsid w:val="00995A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479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3960</Words>
  <Characters>2258</Characters>
  <Application>Microsoft Office Word</Application>
  <DocSecurity>0</DocSecurity>
  <Lines>18</Lines>
  <Paragraphs>12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6206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Віктор</dc:creator>
  <cp:lastModifiedBy>Victor Rebenko</cp:lastModifiedBy>
  <cp:revision>3</cp:revision>
  <dcterms:created xsi:type="dcterms:W3CDTF">2025-10-27T09:45:00Z</dcterms:created>
  <dcterms:modified xsi:type="dcterms:W3CDTF">2025-10-27T09:47:00Z</dcterms:modified>
</cp:coreProperties>
</file>