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661DDE" w14:textId="77777777" w:rsidR="003E2625" w:rsidRDefault="00DB22B7" w:rsidP="00DB22B7">
      <w:pPr>
        <w:widowControl w:val="0"/>
        <w:spacing w:after="0" w:line="276" w:lineRule="auto"/>
        <w:jc w:val="both"/>
      </w:pPr>
      <w:r>
        <w:t>УДК 637.5:532.5</w:t>
      </w:r>
    </w:p>
    <w:p w14:paraId="2494C503" w14:textId="77777777" w:rsidR="003E2625" w:rsidRDefault="003E2625" w:rsidP="00DB22B7">
      <w:pPr>
        <w:widowControl w:val="0"/>
        <w:spacing w:after="0" w:line="276" w:lineRule="auto"/>
        <w:jc w:val="both"/>
      </w:pPr>
      <w:bookmarkStart w:id="0" w:name="_wcu1kgwyf0i2" w:colFirst="0" w:colLast="0"/>
      <w:bookmarkEnd w:id="0"/>
    </w:p>
    <w:p w14:paraId="7A56C533" w14:textId="77777777" w:rsidR="003E2625" w:rsidRDefault="00DB22B7" w:rsidP="00DB22B7">
      <w:pPr>
        <w:widowControl w:val="0"/>
        <w:spacing w:after="0" w:line="276" w:lineRule="auto"/>
        <w:jc w:val="center"/>
        <w:rPr>
          <w:b/>
        </w:rPr>
      </w:pPr>
      <w:r>
        <w:rPr>
          <w:b/>
        </w:rPr>
        <w:t>АНАЛІЗ ПРОЦЕСУ ТА МЕХАНІЗМІВ ЗМІШУВАННЯ СИПКИХ КОРМІВ</w:t>
      </w:r>
    </w:p>
    <w:p w14:paraId="6DD82FCF" w14:textId="77777777" w:rsidR="003E2625" w:rsidRDefault="003E2625" w:rsidP="00DB22B7">
      <w:pPr>
        <w:widowControl w:val="0"/>
        <w:spacing w:after="0" w:line="276" w:lineRule="auto"/>
        <w:jc w:val="center"/>
        <w:rPr>
          <w:b/>
        </w:rPr>
      </w:pPr>
    </w:p>
    <w:p w14:paraId="19AF02D3" w14:textId="77777777" w:rsidR="003E2625" w:rsidRDefault="00DB22B7" w:rsidP="00DB22B7">
      <w:pPr>
        <w:widowControl w:val="0"/>
        <w:spacing w:after="0" w:line="276" w:lineRule="auto"/>
        <w:jc w:val="center"/>
        <w:rPr>
          <w:vertAlign w:val="superscript"/>
        </w:rPr>
      </w:pPr>
      <w:r>
        <w:rPr>
          <w:b/>
        </w:rPr>
        <w:t>Пономаренко Р. Г.</w:t>
      </w:r>
      <w:r>
        <w:t>, аспірант</w:t>
      </w:r>
    </w:p>
    <w:p w14:paraId="6A0C1E69" w14:textId="77777777" w:rsidR="003E2625" w:rsidRDefault="00DB22B7" w:rsidP="00DB22B7">
      <w:pPr>
        <w:widowControl w:val="0"/>
        <w:spacing w:after="0" w:line="276" w:lineRule="auto"/>
        <w:jc w:val="center"/>
        <w:rPr>
          <w:i/>
        </w:rPr>
      </w:pPr>
      <w:r>
        <w:rPr>
          <w:i/>
        </w:rPr>
        <w:t xml:space="preserve">Дніпровський державний аграрно-економічний університет </w:t>
      </w:r>
    </w:p>
    <w:p w14:paraId="6DF7801A" w14:textId="77777777" w:rsidR="003E2625" w:rsidRDefault="00DB22B7" w:rsidP="00DB22B7">
      <w:pPr>
        <w:widowControl w:val="0"/>
        <w:spacing w:after="0" w:line="276" w:lineRule="auto"/>
        <w:jc w:val="center"/>
        <w:rPr>
          <w:i/>
        </w:rPr>
      </w:pPr>
      <w:r>
        <w:rPr>
          <w:i/>
        </w:rPr>
        <w:t>Ponomarenko240314@gmail.com</w:t>
      </w:r>
    </w:p>
    <w:p w14:paraId="4AFA5D1B" w14:textId="77777777" w:rsidR="003E2625" w:rsidRDefault="003E2625" w:rsidP="00DB22B7">
      <w:pPr>
        <w:widowControl w:val="0"/>
        <w:spacing w:after="0" w:line="276" w:lineRule="auto"/>
        <w:ind w:firstLine="709"/>
        <w:jc w:val="both"/>
      </w:pPr>
    </w:p>
    <w:p w14:paraId="01D2B1CC" w14:textId="77777777" w:rsidR="003E2625" w:rsidRDefault="00DB22B7" w:rsidP="00DB22B7">
      <w:pPr>
        <w:widowControl w:val="0"/>
        <w:shd w:val="clear" w:color="auto" w:fill="FFFFFF"/>
        <w:spacing w:after="0" w:line="276" w:lineRule="auto"/>
        <w:ind w:firstLine="709"/>
        <w:jc w:val="both"/>
      </w:pPr>
      <w:r>
        <w:t xml:space="preserve">Змішування частинок є ключовою операцією при виробництві порошкоподібних, зернистих або гранульованих кормів для тварин. Воно застосовується на різних етапах технологічного процесу: під час підготовки сировини, кондиціонування, гранулювання, зберігання та </w:t>
      </w:r>
      <w:r>
        <w:t>пакування кормів. У більшості випадків корми або напівфабрикати виготовляються з вихідної сировини у формі порошків чи гранул, що вимагає отримання однорідної та добре змішаної кінцевої суміші [1, 2].</w:t>
      </w:r>
    </w:p>
    <w:p w14:paraId="0AFBA28C" w14:textId="77777777" w:rsidR="003E2625" w:rsidRDefault="00DB22B7" w:rsidP="00DB22B7">
      <w:pPr>
        <w:widowControl w:val="0"/>
        <w:shd w:val="clear" w:color="auto" w:fill="FFFFFF"/>
        <w:spacing w:after="0" w:line="276" w:lineRule="auto"/>
        <w:ind w:firstLine="709"/>
        <w:jc w:val="both"/>
      </w:pPr>
      <w:r>
        <w:t>Оскільки змішування значно впливає на якість та поживні</w:t>
      </w:r>
      <w:r>
        <w:t xml:space="preserve"> властивості кормів, його можна розглядати як ключову операцію в технологічному ланцюзі виробництва. Застосування ефективних методів і технологій для контролю процесу змішування та уникнення розшарування частинок дозволяє підвищити рівномірність суміші, ск</w:t>
      </w:r>
      <w:r>
        <w:t>оротити енергетичні та матеріальні витрати, а також сприяє розвитку механіки сипких матеріалів.</w:t>
      </w:r>
    </w:p>
    <w:p w14:paraId="72979A9E" w14:textId="77777777" w:rsidR="003E2625" w:rsidRDefault="00DB22B7" w:rsidP="00DB22B7">
      <w:pPr>
        <w:widowControl w:val="0"/>
        <w:shd w:val="clear" w:color="auto" w:fill="FFFFFF"/>
        <w:spacing w:after="0" w:line="276" w:lineRule="auto"/>
        <w:ind w:firstLine="709"/>
        <w:jc w:val="both"/>
      </w:pPr>
      <w:r>
        <w:t>Поглиблене вивчення механізмів змішування та ефективності перемішування частинок є важливим для оптимізації виробничих процесів та обладнання у виробництві сипк</w:t>
      </w:r>
      <w:r>
        <w:t>их кормів. Незалежно від конкретних цілей змішування в різних технологічних лініях, основні механізми змішування залишаються подібними і включає наступні механізми.</w:t>
      </w:r>
    </w:p>
    <w:p w14:paraId="3D13945A" w14:textId="77777777" w:rsidR="003E2625" w:rsidRDefault="00DB22B7" w:rsidP="00DB22B7">
      <w:pPr>
        <w:widowControl w:val="0"/>
        <w:shd w:val="clear" w:color="auto" w:fill="FFFFFF"/>
        <w:spacing w:after="0" w:line="276" w:lineRule="auto"/>
        <w:ind w:firstLine="709"/>
        <w:jc w:val="both"/>
      </w:pPr>
      <w:r>
        <w:t xml:space="preserve">1. </w:t>
      </w:r>
      <w:r>
        <w:rPr>
          <w:b/>
        </w:rPr>
        <w:t>Змішування конвекцією</w:t>
      </w:r>
      <w:r>
        <w:t xml:space="preserve"> (рис. 1, а). Виникає внаслідок переміщення частинок у вигляді згус</w:t>
      </w:r>
      <w:r>
        <w:t>тків, які зсуваються відносно однієї до одної під дією мішалки. Кожен згусток переміщується на певну відстань та зміщується в іншу частину змішувача. Це покращує просторове перемішування і збільшує площу контакту між компонентами суміші. Розмір згустків не</w:t>
      </w:r>
      <w:r>
        <w:t xml:space="preserve"> залежить від геометрії змішувача та не визначається </w:t>
      </w:r>
      <w:proofErr w:type="spellStart"/>
      <w:r>
        <w:t>механікою</w:t>
      </w:r>
      <w:proofErr w:type="spellEnd"/>
      <w:r>
        <w:t xml:space="preserve"> потоку.</w:t>
      </w:r>
    </w:p>
    <w:p w14:paraId="332F2015" w14:textId="77777777" w:rsidR="003E2625" w:rsidRDefault="00DB22B7" w:rsidP="00DB22B7">
      <w:pPr>
        <w:widowControl w:val="0"/>
        <w:shd w:val="clear" w:color="auto" w:fill="FFFFFF"/>
        <w:spacing w:after="0" w:line="276" w:lineRule="auto"/>
        <w:ind w:firstLine="709"/>
        <w:jc w:val="both"/>
      </w:pPr>
      <w:r>
        <w:t xml:space="preserve">2. </w:t>
      </w:r>
      <w:r>
        <w:rPr>
          <w:b/>
        </w:rPr>
        <w:t xml:space="preserve">Змішування дифузією </w:t>
      </w:r>
      <w:r>
        <w:t>(рис. 1, б). Забезпечує змішування на масштабі розміру окремих частинок у змішувачі. Дифузійне змішування виникає через хаотичний рух частинок. Швидкість змішуван</w:t>
      </w:r>
      <w:r>
        <w:t>ня при цьому механізмі нижча, ніж при конвекції, проте воно є необхідним для мікроскопічної гомогенізації суміші.</w:t>
      </w:r>
    </w:p>
    <w:p w14:paraId="31EE81DF" w14:textId="77777777" w:rsidR="003E2625" w:rsidRDefault="00DB22B7" w:rsidP="00DB22B7">
      <w:pPr>
        <w:widowControl w:val="0"/>
        <w:shd w:val="clear" w:color="auto" w:fill="FFFFFF"/>
        <w:spacing w:after="0" w:line="276" w:lineRule="auto"/>
        <w:ind w:firstLine="709"/>
        <w:jc w:val="both"/>
      </w:pPr>
      <w:r>
        <w:t xml:space="preserve">3. </w:t>
      </w:r>
      <w:r>
        <w:rPr>
          <w:b/>
        </w:rPr>
        <w:t>Змішування зсувом</w:t>
      </w:r>
      <w:r>
        <w:t xml:space="preserve"> (рис. 1, в)). Відбувається за рахунок утворення вузьких зон ковзання у сипких матеріалах, де спостерігається високий град</w:t>
      </w:r>
      <w:r>
        <w:t xml:space="preserve">ієнт швидкості. Позад цих зон частинки рухаються майже блоками, що пов’язує механізм із конвекцією. Значне зсувне деформування порошку збільшує площу </w:t>
      </w:r>
      <w:r>
        <w:lastRenderedPageBreak/>
        <w:t>контакту між частинками і руйнує агломерати, забезпечуючи більш однорідну суміш.</w:t>
      </w:r>
    </w:p>
    <w:p w14:paraId="25F9235A" w14:textId="77777777" w:rsidR="003E2625" w:rsidRDefault="003E2625" w:rsidP="00DB22B7">
      <w:pPr>
        <w:widowControl w:val="0"/>
        <w:shd w:val="clear" w:color="auto" w:fill="FFFFFF"/>
        <w:spacing w:after="0" w:line="276" w:lineRule="auto"/>
        <w:jc w:val="both"/>
      </w:pPr>
    </w:p>
    <w:tbl>
      <w:tblPr>
        <w:tblStyle w:val="a5"/>
        <w:tblW w:w="9637"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2291"/>
        <w:gridCol w:w="2228"/>
        <w:gridCol w:w="5118"/>
      </w:tblGrid>
      <w:tr w:rsidR="003E2625" w14:paraId="7A287B0D" w14:textId="77777777">
        <w:tc>
          <w:tcPr>
            <w:tcW w:w="2291" w:type="dxa"/>
          </w:tcPr>
          <w:p w14:paraId="61CDF747" w14:textId="77777777" w:rsidR="003E2625" w:rsidRDefault="00DB22B7" w:rsidP="00DB22B7">
            <w:pPr>
              <w:widowControl w:val="0"/>
              <w:spacing w:line="276" w:lineRule="auto"/>
              <w:jc w:val="center"/>
            </w:pPr>
            <w:r>
              <w:rPr>
                <w:noProof/>
              </w:rPr>
              <w:drawing>
                <wp:inline distT="0" distB="0" distL="0" distR="0" wp14:anchorId="454E45FC" wp14:editId="66DFB13B">
                  <wp:extent cx="1317625" cy="996653"/>
                  <wp:effectExtent l="0" t="0" r="0" b="0"/>
                  <wp:docPr id="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5"/>
                          <a:srcRect l="11187" t="10334" r="59878" b="60159"/>
                          <a:stretch>
                            <a:fillRect/>
                          </a:stretch>
                        </pic:blipFill>
                        <pic:spPr>
                          <a:xfrm>
                            <a:off x="0" y="0"/>
                            <a:ext cx="1317625" cy="996653"/>
                          </a:xfrm>
                          <a:prstGeom prst="rect">
                            <a:avLst/>
                          </a:prstGeom>
                          <a:ln/>
                        </pic:spPr>
                      </pic:pic>
                    </a:graphicData>
                  </a:graphic>
                </wp:inline>
              </w:drawing>
            </w:r>
          </w:p>
        </w:tc>
        <w:tc>
          <w:tcPr>
            <w:tcW w:w="2228" w:type="dxa"/>
          </w:tcPr>
          <w:p w14:paraId="359458DA" w14:textId="77777777" w:rsidR="003E2625" w:rsidRDefault="00DB22B7" w:rsidP="00DB22B7">
            <w:pPr>
              <w:widowControl w:val="0"/>
              <w:spacing w:line="276" w:lineRule="auto"/>
              <w:jc w:val="center"/>
            </w:pPr>
            <w:r>
              <w:rPr>
                <w:noProof/>
              </w:rPr>
              <w:drawing>
                <wp:inline distT="0" distB="0" distL="0" distR="0" wp14:anchorId="2E9F18B9" wp14:editId="28844774">
                  <wp:extent cx="1305756" cy="952459"/>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l="63667" t="10802" r="9519" b="62830"/>
                          <a:stretch>
                            <a:fillRect/>
                          </a:stretch>
                        </pic:blipFill>
                        <pic:spPr>
                          <a:xfrm>
                            <a:off x="0" y="0"/>
                            <a:ext cx="1305756" cy="952459"/>
                          </a:xfrm>
                          <a:prstGeom prst="rect">
                            <a:avLst/>
                          </a:prstGeom>
                          <a:ln/>
                        </pic:spPr>
                      </pic:pic>
                    </a:graphicData>
                  </a:graphic>
                </wp:inline>
              </w:drawing>
            </w:r>
          </w:p>
        </w:tc>
        <w:tc>
          <w:tcPr>
            <w:tcW w:w="5118" w:type="dxa"/>
          </w:tcPr>
          <w:p w14:paraId="172178EB" w14:textId="77777777" w:rsidR="003E2625" w:rsidRDefault="00DB22B7" w:rsidP="00DB22B7">
            <w:pPr>
              <w:widowControl w:val="0"/>
              <w:spacing w:line="276" w:lineRule="auto"/>
              <w:jc w:val="center"/>
            </w:pPr>
            <w:r>
              <w:rPr>
                <w:noProof/>
              </w:rPr>
              <w:drawing>
                <wp:inline distT="0" distB="0" distL="0" distR="0" wp14:anchorId="75B5E33C" wp14:editId="5DDB7A8B">
                  <wp:extent cx="1615262" cy="851564"/>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t="-10858"/>
                          <a:stretch>
                            <a:fillRect/>
                          </a:stretch>
                        </pic:blipFill>
                        <pic:spPr>
                          <a:xfrm>
                            <a:off x="0" y="0"/>
                            <a:ext cx="1615262" cy="851564"/>
                          </a:xfrm>
                          <a:prstGeom prst="rect">
                            <a:avLst/>
                          </a:prstGeom>
                          <a:ln/>
                        </pic:spPr>
                      </pic:pic>
                    </a:graphicData>
                  </a:graphic>
                </wp:inline>
              </w:drawing>
            </w:r>
            <w:r>
              <w:rPr>
                <w:noProof/>
              </w:rPr>
              <w:drawing>
                <wp:inline distT="0" distB="0" distL="0" distR="0" wp14:anchorId="47F9092D" wp14:editId="37E1E5A8">
                  <wp:extent cx="1533649" cy="815030"/>
                  <wp:effectExtent l="0" t="0" r="0" b="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l="57196" t="71540" r="12987" b="7099"/>
                          <a:stretch>
                            <a:fillRect/>
                          </a:stretch>
                        </pic:blipFill>
                        <pic:spPr>
                          <a:xfrm>
                            <a:off x="0" y="0"/>
                            <a:ext cx="1533649" cy="815030"/>
                          </a:xfrm>
                          <a:prstGeom prst="rect">
                            <a:avLst/>
                          </a:prstGeom>
                          <a:ln/>
                        </pic:spPr>
                      </pic:pic>
                    </a:graphicData>
                  </a:graphic>
                </wp:inline>
              </w:drawing>
            </w:r>
          </w:p>
        </w:tc>
      </w:tr>
      <w:tr w:rsidR="003E2625" w14:paraId="72E4A622" w14:textId="77777777">
        <w:tc>
          <w:tcPr>
            <w:tcW w:w="2291" w:type="dxa"/>
            <w:vAlign w:val="center"/>
          </w:tcPr>
          <w:p w14:paraId="7E059DF3" w14:textId="77777777" w:rsidR="003E2625" w:rsidRDefault="00DB22B7" w:rsidP="00DB22B7">
            <w:pPr>
              <w:widowControl w:val="0"/>
              <w:spacing w:line="276" w:lineRule="auto"/>
              <w:jc w:val="center"/>
            </w:pPr>
            <w:r>
              <w:t>a – змішування конвекцією</w:t>
            </w:r>
          </w:p>
        </w:tc>
        <w:tc>
          <w:tcPr>
            <w:tcW w:w="2228" w:type="dxa"/>
            <w:vAlign w:val="center"/>
          </w:tcPr>
          <w:p w14:paraId="388979C6" w14:textId="77777777" w:rsidR="003E2625" w:rsidRDefault="00DB22B7" w:rsidP="00DB22B7">
            <w:pPr>
              <w:widowControl w:val="0"/>
              <w:spacing w:line="276" w:lineRule="auto"/>
              <w:jc w:val="center"/>
            </w:pPr>
            <w:r>
              <w:t>б – змішування дифузією</w:t>
            </w:r>
          </w:p>
        </w:tc>
        <w:tc>
          <w:tcPr>
            <w:tcW w:w="5118" w:type="dxa"/>
            <w:vAlign w:val="center"/>
          </w:tcPr>
          <w:p w14:paraId="0D117C92" w14:textId="77777777" w:rsidR="003E2625" w:rsidRDefault="00DB22B7" w:rsidP="00DB22B7">
            <w:pPr>
              <w:widowControl w:val="0"/>
              <w:spacing w:line="276" w:lineRule="auto"/>
              <w:jc w:val="center"/>
            </w:pPr>
            <w:r>
              <w:t>в – змішування зсувом</w:t>
            </w:r>
          </w:p>
        </w:tc>
      </w:tr>
    </w:tbl>
    <w:p w14:paraId="48C64FED" w14:textId="77777777" w:rsidR="003E2625" w:rsidRDefault="003E2625" w:rsidP="00DB22B7">
      <w:pPr>
        <w:widowControl w:val="0"/>
        <w:shd w:val="clear" w:color="auto" w:fill="FFFFFF"/>
        <w:spacing w:after="0" w:line="276" w:lineRule="auto"/>
        <w:ind w:firstLine="709"/>
        <w:jc w:val="both"/>
      </w:pPr>
    </w:p>
    <w:p w14:paraId="7AF50E63" w14:textId="77777777" w:rsidR="003E2625" w:rsidRDefault="00DB22B7" w:rsidP="00DB22B7">
      <w:pPr>
        <w:widowControl w:val="0"/>
        <w:shd w:val="clear" w:color="auto" w:fill="FFFFFF"/>
        <w:spacing w:after="0" w:line="276" w:lineRule="auto"/>
        <w:jc w:val="center"/>
      </w:pPr>
      <w:r>
        <w:t>Рисунок 1 – Механізми змішування [3, 4]</w:t>
      </w:r>
    </w:p>
    <w:p w14:paraId="2635DD42" w14:textId="77777777" w:rsidR="003E2625" w:rsidRDefault="003E2625" w:rsidP="00DB22B7">
      <w:pPr>
        <w:widowControl w:val="0"/>
        <w:shd w:val="clear" w:color="auto" w:fill="FFFFFF"/>
        <w:spacing w:after="0" w:line="276" w:lineRule="auto"/>
        <w:ind w:firstLine="709"/>
        <w:jc w:val="both"/>
      </w:pPr>
    </w:p>
    <w:p w14:paraId="7B75F907" w14:textId="77777777" w:rsidR="003E2625" w:rsidRDefault="00DB22B7" w:rsidP="00DB22B7">
      <w:pPr>
        <w:widowControl w:val="0"/>
        <w:shd w:val="clear" w:color="auto" w:fill="FFFFFF"/>
        <w:spacing w:after="0" w:line="276" w:lineRule="auto"/>
        <w:ind w:firstLine="709"/>
        <w:jc w:val="both"/>
      </w:pPr>
      <w:r>
        <w:t xml:space="preserve">Процес змішування сипких кормів у змішувачі відбувається одночасно за всіма трьома описаними механізмами. Характеристична крива змішування показує залежність ступеня однорідності M (у логарифмічному масштабі) від часу змішування t (у лінійному масштабі) — </w:t>
      </w:r>
      <w:r>
        <w:t>див. рис. 2. На початковій стадії (I) домінує конвекційне змішування. Різке зниження дисперсності на початку пояснюється переважанням конвекційного механізму, коли великі блоки частинок переміщуються в об’ємі суміші, наприклад, у масштабі лопатей змішувача</w:t>
      </w:r>
      <w:r>
        <w:t>.</w:t>
      </w:r>
    </w:p>
    <w:p w14:paraId="77DF6964" w14:textId="77777777" w:rsidR="003E2625" w:rsidRDefault="00DB22B7" w:rsidP="00DB22B7">
      <w:pPr>
        <w:widowControl w:val="0"/>
        <w:shd w:val="clear" w:color="auto" w:fill="FFFFFF"/>
        <w:spacing w:after="0" w:line="276" w:lineRule="auto"/>
        <w:ind w:firstLine="709"/>
        <w:jc w:val="both"/>
      </w:pPr>
      <w:r>
        <w:t>На проміжній стадії (II) змішування відбувається більш рівномірно завдяки одночасній дії конвекційного та зсувного механізмів. Коли масштаб неоднорідних зон стає меншим за розмір блоків частинок, конвекція вже неефективна для подальшого зменшення стандар</w:t>
      </w:r>
      <w:r>
        <w:t>тного відхилення. У цьому випадку дифузія стає переважаючим механізмом, забезпечуючи подальшу гомогенізацію суміші.</w:t>
      </w:r>
    </w:p>
    <w:p w14:paraId="50DB183D" w14:textId="77777777" w:rsidR="003E2625" w:rsidRDefault="00DB22B7" w:rsidP="00DB22B7">
      <w:pPr>
        <w:widowControl w:val="0"/>
        <w:shd w:val="clear" w:color="auto" w:fill="FFFFFF"/>
        <w:spacing w:after="0" w:line="276" w:lineRule="auto"/>
        <w:ind w:firstLine="709"/>
        <w:jc w:val="both"/>
      </w:pPr>
      <w:r>
        <w:t>При достатньо тривалому часі змішування стандартне відхилення досягає мінімального значення та коливається навколо нього, що відповідає фіна</w:t>
      </w:r>
      <w:r>
        <w:t>льній стадії (III).</w:t>
      </w:r>
    </w:p>
    <w:p w14:paraId="003DC032" w14:textId="77777777" w:rsidR="003E2625" w:rsidRDefault="003E2625" w:rsidP="00DB22B7">
      <w:pPr>
        <w:widowControl w:val="0"/>
        <w:shd w:val="clear" w:color="auto" w:fill="FFFFFF"/>
        <w:spacing w:after="0" w:line="276" w:lineRule="auto"/>
        <w:ind w:firstLine="709"/>
        <w:jc w:val="both"/>
      </w:pPr>
    </w:p>
    <w:p w14:paraId="5C02DE15" w14:textId="77777777" w:rsidR="003E2625" w:rsidRDefault="00DB22B7" w:rsidP="00DB22B7">
      <w:pPr>
        <w:widowControl w:val="0"/>
        <w:shd w:val="clear" w:color="auto" w:fill="FFFFFF"/>
        <w:spacing w:after="0" w:line="276" w:lineRule="auto"/>
        <w:jc w:val="center"/>
      </w:pPr>
      <w:r>
        <w:rPr>
          <w:noProof/>
        </w:rPr>
        <w:lastRenderedPageBreak/>
        <w:drawing>
          <wp:inline distT="0" distB="0" distL="0" distR="0" wp14:anchorId="70341D7E" wp14:editId="1A5C6535">
            <wp:extent cx="4169178" cy="3585591"/>
            <wp:effectExtent l="0" t="0" r="0" b="0"/>
            <wp:docPr id="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a:stretch>
                      <a:fillRect/>
                    </a:stretch>
                  </pic:blipFill>
                  <pic:spPr>
                    <a:xfrm>
                      <a:off x="0" y="0"/>
                      <a:ext cx="4169178" cy="3585591"/>
                    </a:xfrm>
                    <a:prstGeom prst="rect">
                      <a:avLst/>
                    </a:prstGeom>
                    <a:ln/>
                  </pic:spPr>
                </pic:pic>
              </a:graphicData>
            </a:graphic>
          </wp:inline>
        </w:drawing>
      </w:r>
    </w:p>
    <w:p w14:paraId="750EB401" w14:textId="77777777" w:rsidR="003E2625" w:rsidRDefault="003E2625" w:rsidP="00DB22B7">
      <w:pPr>
        <w:widowControl w:val="0"/>
        <w:shd w:val="clear" w:color="auto" w:fill="FFFFFF"/>
        <w:spacing w:after="0" w:line="276" w:lineRule="auto"/>
        <w:jc w:val="center"/>
      </w:pPr>
    </w:p>
    <w:p w14:paraId="501C7390" w14:textId="77777777" w:rsidR="003E2625" w:rsidRDefault="00DB22B7" w:rsidP="00DB22B7">
      <w:pPr>
        <w:widowControl w:val="0"/>
        <w:shd w:val="clear" w:color="auto" w:fill="FFFFFF"/>
        <w:spacing w:after="0" w:line="276" w:lineRule="auto"/>
        <w:jc w:val="center"/>
      </w:pPr>
      <w:r>
        <w:t xml:space="preserve">Рисунок 2 – Схематичне зображення характерної </w:t>
      </w:r>
    </w:p>
    <w:p w14:paraId="6E8A360C" w14:textId="77777777" w:rsidR="003E2625" w:rsidRDefault="00DB22B7" w:rsidP="00DB22B7">
      <w:pPr>
        <w:widowControl w:val="0"/>
        <w:shd w:val="clear" w:color="auto" w:fill="FFFFFF"/>
        <w:spacing w:after="0" w:line="276" w:lineRule="auto"/>
        <w:jc w:val="center"/>
      </w:pPr>
      <w:r>
        <w:t>кривої процесу змішування [5, 6]</w:t>
      </w:r>
    </w:p>
    <w:p w14:paraId="4748694A" w14:textId="77777777" w:rsidR="003E2625" w:rsidRDefault="003E2625" w:rsidP="00DB22B7">
      <w:pPr>
        <w:widowControl w:val="0"/>
        <w:shd w:val="clear" w:color="auto" w:fill="FFFFFF"/>
        <w:spacing w:after="0" w:line="276" w:lineRule="auto"/>
        <w:ind w:firstLine="709"/>
        <w:jc w:val="both"/>
      </w:pPr>
    </w:p>
    <w:p w14:paraId="3FFC0A55" w14:textId="77777777" w:rsidR="003E2625" w:rsidRDefault="00DB22B7" w:rsidP="00DB22B7">
      <w:pPr>
        <w:widowControl w:val="0"/>
        <w:shd w:val="clear" w:color="auto" w:fill="FFFFFF"/>
        <w:spacing w:after="0" w:line="276" w:lineRule="auto"/>
        <w:ind w:firstLine="709"/>
        <w:jc w:val="both"/>
      </w:pPr>
      <w:r>
        <w:t>Однак реальний процес змішування сипких кормів у промисловому виробництві значно складніший, ніж показано на рис. 2. Точний і детальний опис стану зміш</w:t>
      </w:r>
      <w:r>
        <w:t>ування та механізмів перемішування є надзвичайно важливим, але на сьогодні проривних результатів у цій сфері ще не отримано. На механізм і якість змішування впливає багато факторів, зокрема властивості матеріалу, конструкція змішувача та режими його роботи</w:t>
      </w:r>
      <w:r>
        <w:t>. Властивості матеріалу включають геометричні характеристики (форма і розмір частинок) та фізичні характеристики (густина, когезія тощо). Усі ці чинники визначають особливості конкретного процесу змішування, що ускладнює його дослідження.</w:t>
      </w:r>
    </w:p>
    <w:p w14:paraId="43253F89" w14:textId="77777777" w:rsidR="003E2625" w:rsidRDefault="00DB22B7" w:rsidP="00DB22B7">
      <w:pPr>
        <w:widowControl w:val="0"/>
        <w:shd w:val="clear" w:color="auto" w:fill="FFFFFF"/>
        <w:spacing w:after="0" w:line="276" w:lineRule="auto"/>
        <w:ind w:firstLine="709"/>
        <w:jc w:val="both"/>
      </w:pPr>
      <w:r>
        <w:t>Змішування сипких</w:t>
      </w:r>
      <w:r>
        <w:t xml:space="preserve"> кормів є ключовою операцією, що визначає однорідність і якість суміші. Воно здійснюється одночасно за трьома механізмами: конвекцією, дифузією та зсувом, які домінують на різних стадіях процесу. Ефективність змішування залежить від властивостей матеріалу,</w:t>
      </w:r>
      <w:r>
        <w:t xml:space="preserve"> конструкції змішувача та режимів роботи, що робить контроль цих факторів важливим для оптимізації технології та підвищення якості кормів.</w:t>
      </w:r>
    </w:p>
    <w:p w14:paraId="070350C0" w14:textId="77777777" w:rsidR="003E2625" w:rsidRDefault="003E2625" w:rsidP="00DB22B7">
      <w:pPr>
        <w:widowControl w:val="0"/>
        <w:shd w:val="clear" w:color="auto" w:fill="FFFFFF"/>
        <w:spacing w:after="0" w:line="276" w:lineRule="auto"/>
        <w:ind w:firstLine="709"/>
        <w:jc w:val="both"/>
      </w:pPr>
    </w:p>
    <w:p w14:paraId="253D9165" w14:textId="77777777" w:rsidR="003E2625" w:rsidRDefault="00DB22B7" w:rsidP="00DB22B7">
      <w:pPr>
        <w:widowControl w:val="0"/>
        <w:spacing w:after="0" w:line="276" w:lineRule="auto"/>
        <w:ind w:firstLine="709"/>
        <w:jc w:val="center"/>
        <w:rPr>
          <w:b/>
        </w:rPr>
      </w:pPr>
      <w:r>
        <w:rPr>
          <w:b/>
        </w:rPr>
        <w:t>БІБЛІОГРАФІЯ</w:t>
      </w:r>
    </w:p>
    <w:p w14:paraId="45FF99A5" w14:textId="77777777" w:rsidR="003E2625" w:rsidRDefault="00DB22B7" w:rsidP="00DB22B7">
      <w:pPr>
        <w:widowControl w:val="0"/>
        <w:numPr>
          <w:ilvl w:val="0"/>
          <w:numId w:val="1"/>
        </w:numPr>
        <w:pBdr>
          <w:top w:val="nil"/>
          <w:left w:val="nil"/>
          <w:bottom w:val="nil"/>
          <w:right w:val="nil"/>
          <w:between w:val="nil"/>
        </w:pBdr>
        <w:spacing w:after="0" w:line="276" w:lineRule="auto"/>
        <w:ind w:left="0" w:firstLine="709"/>
        <w:jc w:val="both"/>
        <w:rPr>
          <w:color w:val="000000"/>
        </w:rPr>
      </w:pPr>
      <w:proofErr w:type="spellStart"/>
      <w:r>
        <w:rPr>
          <w:color w:val="000000"/>
        </w:rPr>
        <w:t>Yang</w:t>
      </w:r>
      <w:proofErr w:type="spellEnd"/>
      <w:r>
        <w:rPr>
          <w:color w:val="000000"/>
        </w:rPr>
        <w:t xml:space="preserve">, W. J., </w:t>
      </w:r>
      <w:proofErr w:type="spellStart"/>
      <w:r>
        <w:rPr>
          <w:color w:val="000000"/>
        </w:rPr>
        <w:t>Neoh</w:t>
      </w:r>
      <w:proofErr w:type="spellEnd"/>
      <w:r>
        <w:rPr>
          <w:color w:val="000000"/>
        </w:rPr>
        <w:t xml:space="preserve">, K.-G., </w:t>
      </w:r>
      <w:proofErr w:type="spellStart"/>
      <w:r>
        <w:rPr>
          <w:color w:val="000000"/>
        </w:rPr>
        <w:t>Kang</w:t>
      </w:r>
      <w:proofErr w:type="spellEnd"/>
      <w:r>
        <w:rPr>
          <w:color w:val="000000"/>
        </w:rPr>
        <w:t xml:space="preserve">, E.-T., </w:t>
      </w:r>
      <w:proofErr w:type="spellStart"/>
      <w:r>
        <w:rPr>
          <w:color w:val="000000"/>
        </w:rPr>
        <w:t>Teo</w:t>
      </w:r>
      <w:proofErr w:type="spellEnd"/>
      <w:r>
        <w:rPr>
          <w:color w:val="000000"/>
        </w:rPr>
        <w:t xml:space="preserve">, S. L.-M., &amp; </w:t>
      </w:r>
      <w:proofErr w:type="spellStart"/>
      <w:r>
        <w:rPr>
          <w:color w:val="000000"/>
        </w:rPr>
        <w:t>Rittschof</w:t>
      </w:r>
      <w:proofErr w:type="spellEnd"/>
      <w:r>
        <w:rPr>
          <w:color w:val="000000"/>
        </w:rPr>
        <w:t xml:space="preserve">, D. (2014). </w:t>
      </w:r>
      <w:proofErr w:type="spellStart"/>
      <w:r>
        <w:rPr>
          <w:color w:val="000000"/>
        </w:rPr>
        <w:t>Polymer</w:t>
      </w:r>
      <w:proofErr w:type="spellEnd"/>
      <w:r>
        <w:rPr>
          <w:color w:val="000000"/>
        </w:rPr>
        <w:t xml:space="preserve"> </w:t>
      </w:r>
      <w:proofErr w:type="spellStart"/>
      <w:r>
        <w:rPr>
          <w:color w:val="000000"/>
        </w:rPr>
        <w:t>brush</w:t>
      </w:r>
      <w:proofErr w:type="spellEnd"/>
      <w:r>
        <w:rPr>
          <w:color w:val="000000"/>
        </w:rPr>
        <w:t xml:space="preserve"> </w:t>
      </w:r>
      <w:proofErr w:type="spellStart"/>
      <w:r>
        <w:rPr>
          <w:color w:val="000000"/>
        </w:rPr>
        <w:t>coatings</w:t>
      </w:r>
      <w:proofErr w:type="spellEnd"/>
      <w:r>
        <w:rPr>
          <w:color w:val="000000"/>
        </w:rPr>
        <w:t xml:space="preserve"> </w:t>
      </w:r>
      <w:proofErr w:type="spellStart"/>
      <w:r>
        <w:rPr>
          <w:color w:val="000000"/>
        </w:rPr>
        <w:t>fo</w:t>
      </w:r>
      <w:r>
        <w:rPr>
          <w:color w:val="000000"/>
        </w:rPr>
        <w:t>r</w:t>
      </w:r>
      <w:proofErr w:type="spellEnd"/>
      <w:r>
        <w:rPr>
          <w:color w:val="000000"/>
        </w:rPr>
        <w:t xml:space="preserve"> </w:t>
      </w:r>
      <w:proofErr w:type="spellStart"/>
      <w:r>
        <w:rPr>
          <w:color w:val="000000"/>
        </w:rPr>
        <w:t>combating</w:t>
      </w:r>
      <w:proofErr w:type="spellEnd"/>
      <w:r>
        <w:rPr>
          <w:color w:val="000000"/>
        </w:rPr>
        <w:t xml:space="preserve"> </w:t>
      </w:r>
      <w:proofErr w:type="spellStart"/>
      <w:r>
        <w:rPr>
          <w:color w:val="000000"/>
        </w:rPr>
        <w:t>marine</w:t>
      </w:r>
      <w:proofErr w:type="spellEnd"/>
      <w:r>
        <w:rPr>
          <w:color w:val="000000"/>
        </w:rPr>
        <w:t xml:space="preserve"> </w:t>
      </w:r>
      <w:proofErr w:type="spellStart"/>
      <w:r>
        <w:rPr>
          <w:color w:val="000000"/>
        </w:rPr>
        <w:t>biofouling</w:t>
      </w:r>
      <w:proofErr w:type="spellEnd"/>
      <w:r>
        <w:rPr>
          <w:color w:val="000000"/>
        </w:rPr>
        <w:t xml:space="preserve">. </w:t>
      </w:r>
      <w:proofErr w:type="spellStart"/>
      <w:r>
        <w:rPr>
          <w:color w:val="000000"/>
        </w:rPr>
        <w:t>Progress</w:t>
      </w:r>
      <w:proofErr w:type="spellEnd"/>
      <w:r>
        <w:rPr>
          <w:color w:val="000000"/>
        </w:rPr>
        <w:t xml:space="preserve"> </w:t>
      </w:r>
      <w:proofErr w:type="spellStart"/>
      <w:r>
        <w:rPr>
          <w:color w:val="000000"/>
        </w:rPr>
        <w:t>in</w:t>
      </w:r>
      <w:proofErr w:type="spellEnd"/>
      <w:r>
        <w:rPr>
          <w:color w:val="000000"/>
        </w:rPr>
        <w:t xml:space="preserve"> </w:t>
      </w:r>
      <w:proofErr w:type="spellStart"/>
      <w:r>
        <w:rPr>
          <w:color w:val="000000"/>
        </w:rPr>
        <w:t>Polymer</w:t>
      </w:r>
      <w:proofErr w:type="spellEnd"/>
      <w:r>
        <w:rPr>
          <w:color w:val="000000"/>
        </w:rPr>
        <w:t xml:space="preserve"> </w:t>
      </w:r>
      <w:proofErr w:type="spellStart"/>
      <w:r>
        <w:rPr>
          <w:color w:val="000000"/>
        </w:rPr>
        <w:t>Science</w:t>
      </w:r>
      <w:proofErr w:type="spellEnd"/>
      <w:r>
        <w:rPr>
          <w:color w:val="000000"/>
        </w:rPr>
        <w:t xml:space="preserve">, 39, 1017–1042. </w:t>
      </w:r>
    </w:p>
    <w:p w14:paraId="79B6337E" w14:textId="77777777" w:rsidR="003E2625" w:rsidRDefault="00DB22B7" w:rsidP="00DB22B7">
      <w:pPr>
        <w:widowControl w:val="0"/>
        <w:numPr>
          <w:ilvl w:val="0"/>
          <w:numId w:val="1"/>
        </w:numPr>
        <w:pBdr>
          <w:top w:val="nil"/>
          <w:left w:val="nil"/>
          <w:bottom w:val="nil"/>
          <w:right w:val="nil"/>
          <w:between w:val="nil"/>
        </w:pBdr>
        <w:spacing w:after="0" w:line="276" w:lineRule="auto"/>
        <w:ind w:left="0" w:firstLine="709"/>
        <w:jc w:val="both"/>
        <w:rPr>
          <w:color w:val="000000"/>
        </w:rPr>
      </w:pPr>
      <w:proofErr w:type="spellStart"/>
      <w:r>
        <w:rPr>
          <w:color w:val="000000"/>
        </w:rPr>
        <w:t>Ashton</w:t>
      </w:r>
      <w:proofErr w:type="spellEnd"/>
      <w:r>
        <w:rPr>
          <w:color w:val="000000"/>
        </w:rPr>
        <w:t xml:space="preserve">, M., &amp; </w:t>
      </w:r>
      <w:proofErr w:type="spellStart"/>
      <w:r>
        <w:rPr>
          <w:color w:val="000000"/>
        </w:rPr>
        <w:t>Valentin</w:t>
      </w:r>
      <w:proofErr w:type="spellEnd"/>
      <w:r>
        <w:rPr>
          <w:color w:val="000000"/>
        </w:rPr>
        <w:t xml:space="preserve">, F. E. (1966). </w:t>
      </w:r>
      <w:proofErr w:type="spellStart"/>
      <w:r>
        <w:rPr>
          <w:color w:val="000000"/>
        </w:rPr>
        <w:t>The</w:t>
      </w:r>
      <w:proofErr w:type="spellEnd"/>
      <w:r>
        <w:rPr>
          <w:color w:val="000000"/>
        </w:rPr>
        <w:t xml:space="preserve"> </w:t>
      </w:r>
      <w:proofErr w:type="spellStart"/>
      <w:r>
        <w:rPr>
          <w:color w:val="000000"/>
        </w:rPr>
        <w:t>mixing</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powders</w:t>
      </w:r>
      <w:proofErr w:type="spellEnd"/>
      <w:r>
        <w:rPr>
          <w:color w:val="000000"/>
        </w:rPr>
        <w:t xml:space="preserve"> </w:t>
      </w:r>
      <w:proofErr w:type="spellStart"/>
      <w:r>
        <w:rPr>
          <w:color w:val="000000"/>
        </w:rPr>
        <w:t>and</w:t>
      </w:r>
      <w:proofErr w:type="spellEnd"/>
      <w:r>
        <w:rPr>
          <w:color w:val="000000"/>
        </w:rPr>
        <w:t xml:space="preserve"> </w:t>
      </w:r>
      <w:proofErr w:type="spellStart"/>
      <w:r>
        <w:rPr>
          <w:color w:val="000000"/>
        </w:rPr>
        <w:t>particles</w:t>
      </w:r>
      <w:proofErr w:type="spellEnd"/>
      <w:r>
        <w:rPr>
          <w:color w:val="000000"/>
        </w:rPr>
        <w:t xml:space="preserve"> </w:t>
      </w:r>
      <w:proofErr w:type="spellStart"/>
      <w:r>
        <w:rPr>
          <w:color w:val="000000"/>
        </w:rPr>
        <w:lastRenderedPageBreak/>
        <w:t>in</w:t>
      </w:r>
      <w:proofErr w:type="spellEnd"/>
      <w:r>
        <w:rPr>
          <w:color w:val="000000"/>
        </w:rPr>
        <w:t xml:space="preserve"> </w:t>
      </w:r>
      <w:proofErr w:type="spellStart"/>
      <w:r>
        <w:rPr>
          <w:color w:val="000000"/>
        </w:rPr>
        <w:t>industrial</w:t>
      </w:r>
      <w:proofErr w:type="spellEnd"/>
      <w:r>
        <w:rPr>
          <w:color w:val="000000"/>
        </w:rPr>
        <w:t xml:space="preserve"> </w:t>
      </w:r>
      <w:proofErr w:type="spellStart"/>
      <w:r>
        <w:rPr>
          <w:color w:val="000000"/>
        </w:rPr>
        <w:t>mixers</w:t>
      </w:r>
      <w:proofErr w:type="spellEnd"/>
      <w:r>
        <w:rPr>
          <w:color w:val="000000"/>
        </w:rPr>
        <w:t xml:space="preserve">. </w:t>
      </w:r>
      <w:proofErr w:type="spellStart"/>
      <w:r>
        <w:rPr>
          <w:color w:val="000000"/>
        </w:rPr>
        <w:t>Transactions</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the</w:t>
      </w:r>
      <w:proofErr w:type="spellEnd"/>
      <w:r>
        <w:rPr>
          <w:color w:val="000000"/>
        </w:rPr>
        <w:t xml:space="preserve"> </w:t>
      </w:r>
      <w:proofErr w:type="spellStart"/>
      <w:r>
        <w:rPr>
          <w:color w:val="000000"/>
        </w:rPr>
        <w:t>Institution</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Chemical</w:t>
      </w:r>
      <w:proofErr w:type="spellEnd"/>
      <w:r>
        <w:rPr>
          <w:color w:val="000000"/>
        </w:rPr>
        <w:t xml:space="preserve"> </w:t>
      </w:r>
      <w:proofErr w:type="spellStart"/>
      <w:r>
        <w:rPr>
          <w:color w:val="000000"/>
        </w:rPr>
        <w:t>Engineers</w:t>
      </w:r>
      <w:proofErr w:type="spellEnd"/>
      <w:r>
        <w:rPr>
          <w:color w:val="000000"/>
        </w:rPr>
        <w:t xml:space="preserve">, 44, 166–188. </w:t>
      </w:r>
    </w:p>
    <w:p w14:paraId="5DE25FD5" w14:textId="77777777" w:rsidR="003E2625" w:rsidRDefault="00DB22B7" w:rsidP="00DB22B7">
      <w:pPr>
        <w:widowControl w:val="0"/>
        <w:numPr>
          <w:ilvl w:val="0"/>
          <w:numId w:val="1"/>
        </w:numPr>
        <w:pBdr>
          <w:top w:val="nil"/>
          <w:left w:val="nil"/>
          <w:bottom w:val="nil"/>
          <w:right w:val="nil"/>
          <w:between w:val="nil"/>
        </w:pBdr>
        <w:spacing w:after="0" w:line="276" w:lineRule="auto"/>
        <w:ind w:left="0" w:firstLine="709"/>
        <w:jc w:val="both"/>
        <w:rPr>
          <w:color w:val="000000"/>
        </w:rPr>
      </w:pPr>
      <w:proofErr w:type="spellStart"/>
      <w:r>
        <w:rPr>
          <w:color w:val="000000"/>
        </w:rPr>
        <w:t>Lacey</w:t>
      </w:r>
      <w:proofErr w:type="spellEnd"/>
      <w:r>
        <w:rPr>
          <w:color w:val="000000"/>
        </w:rPr>
        <w:t xml:space="preserve">, P. M. C. (1954). </w:t>
      </w:r>
      <w:proofErr w:type="spellStart"/>
      <w:r>
        <w:rPr>
          <w:color w:val="000000"/>
        </w:rPr>
        <w:t>Developments</w:t>
      </w:r>
      <w:proofErr w:type="spellEnd"/>
      <w:r>
        <w:rPr>
          <w:color w:val="000000"/>
        </w:rPr>
        <w:t xml:space="preserve"> </w:t>
      </w:r>
      <w:proofErr w:type="spellStart"/>
      <w:r>
        <w:rPr>
          <w:color w:val="000000"/>
        </w:rPr>
        <w:t>in</w:t>
      </w:r>
      <w:proofErr w:type="spellEnd"/>
      <w:r>
        <w:rPr>
          <w:color w:val="000000"/>
        </w:rPr>
        <w:t xml:space="preserve"> </w:t>
      </w:r>
      <w:proofErr w:type="spellStart"/>
      <w:r>
        <w:rPr>
          <w:color w:val="000000"/>
        </w:rPr>
        <w:t>the</w:t>
      </w:r>
      <w:proofErr w:type="spellEnd"/>
      <w:r>
        <w:rPr>
          <w:color w:val="000000"/>
        </w:rPr>
        <w:t xml:space="preserve"> </w:t>
      </w:r>
      <w:proofErr w:type="spellStart"/>
      <w:r>
        <w:rPr>
          <w:color w:val="000000"/>
        </w:rPr>
        <w:t>theory</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particle</w:t>
      </w:r>
      <w:proofErr w:type="spellEnd"/>
      <w:r>
        <w:rPr>
          <w:color w:val="000000"/>
        </w:rPr>
        <w:t xml:space="preserve"> </w:t>
      </w:r>
      <w:proofErr w:type="spellStart"/>
      <w:r>
        <w:rPr>
          <w:color w:val="000000"/>
        </w:rPr>
        <w:t>mixing</w:t>
      </w:r>
      <w:proofErr w:type="spellEnd"/>
      <w:r>
        <w:rPr>
          <w:color w:val="000000"/>
        </w:rPr>
        <w:t xml:space="preserve">. </w:t>
      </w:r>
      <w:proofErr w:type="spellStart"/>
      <w:r>
        <w:rPr>
          <w:color w:val="000000"/>
        </w:rPr>
        <w:t>Journal</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Applied</w:t>
      </w:r>
      <w:proofErr w:type="spellEnd"/>
      <w:r>
        <w:rPr>
          <w:color w:val="000000"/>
        </w:rPr>
        <w:t xml:space="preserve"> </w:t>
      </w:r>
      <w:proofErr w:type="spellStart"/>
      <w:r>
        <w:rPr>
          <w:color w:val="000000"/>
        </w:rPr>
        <w:t>Chemistry</w:t>
      </w:r>
      <w:proofErr w:type="spellEnd"/>
      <w:r>
        <w:rPr>
          <w:color w:val="000000"/>
        </w:rPr>
        <w:t xml:space="preserve">, 4, 257–268. </w:t>
      </w:r>
    </w:p>
    <w:p w14:paraId="50836058" w14:textId="77777777" w:rsidR="003E2625" w:rsidRDefault="00DB22B7" w:rsidP="00DB22B7">
      <w:pPr>
        <w:widowControl w:val="0"/>
        <w:numPr>
          <w:ilvl w:val="0"/>
          <w:numId w:val="1"/>
        </w:numPr>
        <w:pBdr>
          <w:top w:val="nil"/>
          <w:left w:val="nil"/>
          <w:bottom w:val="nil"/>
          <w:right w:val="nil"/>
          <w:between w:val="nil"/>
        </w:pBdr>
        <w:spacing w:after="0" w:line="276" w:lineRule="auto"/>
        <w:ind w:left="0" w:firstLine="709"/>
        <w:jc w:val="both"/>
        <w:rPr>
          <w:color w:val="000000"/>
        </w:rPr>
      </w:pPr>
      <w:proofErr w:type="spellStart"/>
      <w:r>
        <w:rPr>
          <w:color w:val="000000"/>
        </w:rPr>
        <w:t>Muzzio</w:t>
      </w:r>
      <w:proofErr w:type="spellEnd"/>
      <w:r>
        <w:rPr>
          <w:color w:val="000000"/>
        </w:rPr>
        <w:t xml:space="preserve">, F. J., </w:t>
      </w:r>
      <w:proofErr w:type="spellStart"/>
      <w:r>
        <w:rPr>
          <w:color w:val="000000"/>
        </w:rPr>
        <w:t>Alexander</w:t>
      </w:r>
      <w:proofErr w:type="spellEnd"/>
      <w:r>
        <w:rPr>
          <w:color w:val="000000"/>
        </w:rPr>
        <w:t xml:space="preserve">, A., </w:t>
      </w:r>
      <w:proofErr w:type="spellStart"/>
      <w:r>
        <w:rPr>
          <w:color w:val="000000"/>
        </w:rPr>
        <w:t>Goodridge</w:t>
      </w:r>
      <w:proofErr w:type="spellEnd"/>
      <w:r>
        <w:rPr>
          <w:color w:val="000000"/>
        </w:rPr>
        <w:t xml:space="preserve">, C., </w:t>
      </w:r>
      <w:proofErr w:type="spellStart"/>
      <w:r>
        <w:rPr>
          <w:color w:val="000000"/>
        </w:rPr>
        <w:t>Shen</w:t>
      </w:r>
      <w:proofErr w:type="spellEnd"/>
      <w:r>
        <w:rPr>
          <w:color w:val="000000"/>
        </w:rPr>
        <w:t xml:space="preserve">, E., </w:t>
      </w:r>
      <w:proofErr w:type="spellStart"/>
      <w:r>
        <w:rPr>
          <w:color w:val="000000"/>
        </w:rPr>
        <w:t>Shinbrot</w:t>
      </w:r>
      <w:proofErr w:type="spellEnd"/>
      <w:r>
        <w:rPr>
          <w:color w:val="000000"/>
        </w:rPr>
        <w:t xml:space="preserve">, T., </w:t>
      </w:r>
      <w:proofErr w:type="spellStart"/>
      <w:r>
        <w:rPr>
          <w:color w:val="000000"/>
        </w:rPr>
        <w:t>Manjunath</w:t>
      </w:r>
      <w:proofErr w:type="spellEnd"/>
      <w:r>
        <w:rPr>
          <w:color w:val="000000"/>
        </w:rPr>
        <w:t xml:space="preserve">, K., </w:t>
      </w:r>
      <w:proofErr w:type="spellStart"/>
      <w:r>
        <w:rPr>
          <w:color w:val="000000"/>
        </w:rPr>
        <w:t>Dhodapkar</w:t>
      </w:r>
      <w:proofErr w:type="spellEnd"/>
      <w:r>
        <w:rPr>
          <w:color w:val="000000"/>
        </w:rPr>
        <w:t xml:space="preserve">, S., &amp; </w:t>
      </w:r>
      <w:proofErr w:type="spellStart"/>
      <w:r>
        <w:rPr>
          <w:color w:val="000000"/>
        </w:rPr>
        <w:t>Jacob</w:t>
      </w:r>
      <w:proofErr w:type="spellEnd"/>
      <w:r>
        <w:rPr>
          <w:color w:val="000000"/>
        </w:rPr>
        <w:t xml:space="preserve">, K. (2004). </w:t>
      </w:r>
      <w:proofErr w:type="spellStart"/>
      <w:r>
        <w:rPr>
          <w:color w:val="000000"/>
        </w:rPr>
        <w:t>Solids</w:t>
      </w:r>
      <w:proofErr w:type="spellEnd"/>
      <w:r>
        <w:rPr>
          <w:color w:val="000000"/>
        </w:rPr>
        <w:t xml:space="preserve"> </w:t>
      </w:r>
      <w:proofErr w:type="spellStart"/>
      <w:r>
        <w:rPr>
          <w:color w:val="000000"/>
        </w:rPr>
        <w:t>mixing</w:t>
      </w:r>
      <w:proofErr w:type="spellEnd"/>
      <w:r>
        <w:rPr>
          <w:color w:val="000000"/>
        </w:rPr>
        <w:t xml:space="preserve">. </w:t>
      </w:r>
      <w:proofErr w:type="spellStart"/>
      <w:r>
        <w:rPr>
          <w:color w:val="000000"/>
        </w:rPr>
        <w:t>In</w:t>
      </w:r>
      <w:proofErr w:type="spellEnd"/>
      <w:r>
        <w:rPr>
          <w:color w:val="000000"/>
        </w:rPr>
        <w:t xml:space="preserve"> </w:t>
      </w:r>
      <w:proofErr w:type="spellStart"/>
      <w:r>
        <w:rPr>
          <w:color w:val="000000"/>
        </w:rPr>
        <w:t>Handb</w:t>
      </w:r>
      <w:r>
        <w:rPr>
          <w:color w:val="000000"/>
        </w:rPr>
        <w:t>ook</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Industrial</w:t>
      </w:r>
      <w:proofErr w:type="spellEnd"/>
      <w:r>
        <w:rPr>
          <w:color w:val="000000"/>
        </w:rPr>
        <w:t xml:space="preserve"> </w:t>
      </w:r>
      <w:proofErr w:type="spellStart"/>
      <w:r>
        <w:rPr>
          <w:color w:val="000000"/>
        </w:rPr>
        <w:t>Mixing</w:t>
      </w:r>
      <w:proofErr w:type="spellEnd"/>
      <w:r>
        <w:rPr>
          <w:color w:val="000000"/>
        </w:rPr>
        <w:t xml:space="preserve"> (</w:t>
      </w:r>
      <w:proofErr w:type="spellStart"/>
      <w:r>
        <w:rPr>
          <w:color w:val="000000"/>
        </w:rPr>
        <w:t>pp</w:t>
      </w:r>
      <w:proofErr w:type="spellEnd"/>
      <w:r>
        <w:rPr>
          <w:color w:val="000000"/>
        </w:rPr>
        <w:t xml:space="preserve">. 887–985). </w:t>
      </w:r>
      <w:proofErr w:type="spellStart"/>
      <w:r>
        <w:rPr>
          <w:color w:val="000000"/>
        </w:rPr>
        <w:t>John</w:t>
      </w:r>
      <w:proofErr w:type="spellEnd"/>
      <w:r>
        <w:rPr>
          <w:color w:val="000000"/>
        </w:rPr>
        <w:t xml:space="preserve"> </w:t>
      </w:r>
      <w:proofErr w:type="spellStart"/>
      <w:r>
        <w:rPr>
          <w:color w:val="000000"/>
        </w:rPr>
        <w:t>Wiley</w:t>
      </w:r>
      <w:proofErr w:type="spellEnd"/>
      <w:r>
        <w:rPr>
          <w:color w:val="000000"/>
        </w:rPr>
        <w:t xml:space="preserve"> &amp; </w:t>
      </w:r>
      <w:proofErr w:type="spellStart"/>
      <w:r>
        <w:rPr>
          <w:color w:val="000000"/>
        </w:rPr>
        <w:t>Sons</w:t>
      </w:r>
      <w:proofErr w:type="spellEnd"/>
      <w:r>
        <w:rPr>
          <w:color w:val="000000"/>
        </w:rPr>
        <w:t>.</w:t>
      </w:r>
    </w:p>
    <w:p w14:paraId="5B13F45F" w14:textId="77777777" w:rsidR="003E2625" w:rsidRDefault="00DB22B7" w:rsidP="00DB22B7">
      <w:pPr>
        <w:widowControl w:val="0"/>
        <w:numPr>
          <w:ilvl w:val="0"/>
          <w:numId w:val="1"/>
        </w:numPr>
        <w:pBdr>
          <w:top w:val="nil"/>
          <w:left w:val="nil"/>
          <w:bottom w:val="nil"/>
          <w:right w:val="nil"/>
          <w:between w:val="nil"/>
        </w:pBdr>
        <w:spacing w:after="0" w:line="276" w:lineRule="auto"/>
        <w:ind w:left="0" w:firstLine="709"/>
        <w:jc w:val="both"/>
        <w:rPr>
          <w:color w:val="000000"/>
        </w:rPr>
      </w:pPr>
      <w:proofErr w:type="spellStart"/>
      <w:r>
        <w:rPr>
          <w:color w:val="000000"/>
        </w:rPr>
        <w:t>Bridgwater</w:t>
      </w:r>
      <w:proofErr w:type="spellEnd"/>
      <w:r>
        <w:rPr>
          <w:color w:val="000000"/>
        </w:rPr>
        <w:t xml:space="preserve">, J. (1976). </w:t>
      </w:r>
      <w:proofErr w:type="spellStart"/>
      <w:r>
        <w:rPr>
          <w:color w:val="000000"/>
        </w:rPr>
        <w:t>Fundamental</w:t>
      </w:r>
      <w:proofErr w:type="spellEnd"/>
      <w:r>
        <w:rPr>
          <w:color w:val="000000"/>
        </w:rPr>
        <w:t xml:space="preserve"> </w:t>
      </w:r>
      <w:proofErr w:type="spellStart"/>
      <w:r>
        <w:rPr>
          <w:color w:val="000000"/>
        </w:rPr>
        <w:t>powder</w:t>
      </w:r>
      <w:proofErr w:type="spellEnd"/>
      <w:r>
        <w:rPr>
          <w:color w:val="000000"/>
        </w:rPr>
        <w:t xml:space="preserve"> </w:t>
      </w:r>
      <w:proofErr w:type="spellStart"/>
      <w:r>
        <w:rPr>
          <w:color w:val="000000"/>
        </w:rPr>
        <w:t>mixing</w:t>
      </w:r>
      <w:proofErr w:type="spellEnd"/>
      <w:r>
        <w:rPr>
          <w:color w:val="000000"/>
        </w:rPr>
        <w:t xml:space="preserve"> </w:t>
      </w:r>
      <w:proofErr w:type="spellStart"/>
      <w:r>
        <w:rPr>
          <w:color w:val="000000"/>
        </w:rPr>
        <w:t>mechanisms</w:t>
      </w:r>
      <w:proofErr w:type="spellEnd"/>
      <w:r>
        <w:rPr>
          <w:color w:val="000000"/>
        </w:rPr>
        <w:t xml:space="preserve">. </w:t>
      </w:r>
      <w:proofErr w:type="spellStart"/>
      <w:r>
        <w:rPr>
          <w:color w:val="000000"/>
        </w:rPr>
        <w:t>Powder</w:t>
      </w:r>
      <w:proofErr w:type="spellEnd"/>
      <w:r>
        <w:rPr>
          <w:color w:val="000000"/>
        </w:rPr>
        <w:t xml:space="preserve"> </w:t>
      </w:r>
      <w:proofErr w:type="spellStart"/>
      <w:r>
        <w:rPr>
          <w:color w:val="000000"/>
        </w:rPr>
        <w:t>Technology</w:t>
      </w:r>
      <w:proofErr w:type="spellEnd"/>
      <w:r>
        <w:rPr>
          <w:color w:val="000000"/>
        </w:rPr>
        <w:t xml:space="preserve">, 15, 215–236. </w:t>
      </w:r>
    </w:p>
    <w:p w14:paraId="2792C9A3" w14:textId="77777777" w:rsidR="003E2625" w:rsidRDefault="00DB22B7" w:rsidP="00DB22B7">
      <w:pPr>
        <w:widowControl w:val="0"/>
        <w:numPr>
          <w:ilvl w:val="0"/>
          <w:numId w:val="1"/>
        </w:numPr>
        <w:pBdr>
          <w:top w:val="nil"/>
          <w:left w:val="nil"/>
          <w:bottom w:val="nil"/>
          <w:right w:val="nil"/>
          <w:between w:val="nil"/>
        </w:pBdr>
        <w:spacing w:after="0" w:line="276" w:lineRule="auto"/>
        <w:ind w:left="0" w:firstLine="709"/>
        <w:jc w:val="both"/>
        <w:rPr>
          <w:color w:val="000000"/>
        </w:rPr>
      </w:pPr>
      <w:proofErr w:type="spellStart"/>
      <w:r>
        <w:rPr>
          <w:color w:val="000000"/>
        </w:rPr>
        <w:t>Rose</w:t>
      </w:r>
      <w:proofErr w:type="spellEnd"/>
      <w:r>
        <w:rPr>
          <w:color w:val="000000"/>
        </w:rPr>
        <w:t xml:space="preserve">, H. (1959). A </w:t>
      </w:r>
      <w:proofErr w:type="spellStart"/>
      <w:r>
        <w:rPr>
          <w:color w:val="000000"/>
        </w:rPr>
        <w:t>suggested</w:t>
      </w:r>
      <w:proofErr w:type="spellEnd"/>
      <w:r>
        <w:rPr>
          <w:color w:val="000000"/>
        </w:rPr>
        <w:t xml:space="preserve"> </w:t>
      </w:r>
      <w:proofErr w:type="spellStart"/>
      <w:r>
        <w:rPr>
          <w:color w:val="000000"/>
        </w:rPr>
        <w:t>equation</w:t>
      </w:r>
      <w:proofErr w:type="spellEnd"/>
      <w:r>
        <w:rPr>
          <w:color w:val="000000"/>
        </w:rPr>
        <w:t xml:space="preserve"> </w:t>
      </w:r>
      <w:proofErr w:type="spellStart"/>
      <w:r>
        <w:rPr>
          <w:color w:val="000000"/>
        </w:rPr>
        <w:t>relating</w:t>
      </w:r>
      <w:proofErr w:type="spellEnd"/>
      <w:r>
        <w:rPr>
          <w:color w:val="000000"/>
        </w:rPr>
        <w:t xml:space="preserve"> </w:t>
      </w:r>
      <w:proofErr w:type="spellStart"/>
      <w:r>
        <w:rPr>
          <w:color w:val="000000"/>
        </w:rPr>
        <w:t>to</w:t>
      </w:r>
      <w:proofErr w:type="spellEnd"/>
      <w:r>
        <w:rPr>
          <w:color w:val="000000"/>
        </w:rPr>
        <w:t xml:space="preserve"> </w:t>
      </w:r>
      <w:proofErr w:type="spellStart"/>
      <w:r>
        <w:rPr>
          <w:color w:val="000000"/>
        </w:rPr>
        <w:t>the</w:t>
      </w:r>
      <w:proofErr w:type="spellEnd"/>
      <w:r>
        <w:rPr>
          <w:color w:val="000000"/>
        </w:rPr>
        <w:t xml:space="preserve"> </w:t>
      </w:r>
      <w:proofErr w:type="spellStart"/>
      <w:r>
        <w:rPr>
          <w:color w:val="000000"/>
        </w:rPr>
        <w:t>mixing</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powders</w:t>
      </w:r>
      <w:proofErr w:type="spellEnd"/>
      <w:r>
        <w:rPr>
          <w:color w:val="000000"/>
        </w:rPr>
        <w:t xml:space="preserve"> </w:t>
      </w:r>
      <w:proofErr w:type="spellStart"/>
      <w:r>
        <w:rPr>
          <w:color w:val="000000"/>
        </w:rPr>
        <w:t>and</w:t>
      </w:r>
      <w:proofErr w:type="spellEnd"/>
      <w:r>
        <w:rPr>
          <w:color w:val="000000"/>
        </w:rPr>
        <w:t xml:space="preserve"> </w:t>
      </w:r>
      <w:proofErr w:type="spellStart"/>
      <w:r>
        <w:rPr>
          <w:color w:val="000000"/>
        </w:rPr>
        <w:t>its</w:t>
      </w:r>
      <w:proofErr w:type="spellEnd"/>
      <w:r>
        <w:rPr>
          <w:color w:val="000000"/>
        </w:rPr>
        <w:t xml:space="preserve"> </w:t>
      </w:r>
      <w:proofErr w:type="spellStart"/>
      <w:r>
        <w:rPr>
          <w:color w:val="000000"/>
        </w:rPr>
        <w:t>application</w:t>
      </w:r>
      <w:proofErr w:type="spellEnd"/>
      <w:r>
        <w:rPr>
          <w:color w:val="000000"/>
        </w:rPr>
        <w:t xml:space="preserve"> </w:t>
      </w:r>
      <w:proofErr w:type="spellStart"/>
      <w:r>
        <w:rPr>
          <w:color w:val="000000"/>
        </w:rPr>
        <w:t>to</w:t>
      </w:r>
      <w:proofErr w:type="spellEnd"/>
      <w:r>
        <w:rPr>
          <w:color w:val="000000"/>
        </w:rPr>
        <w:t xml:space="preserve"> </w:t>
      </w:r>
      <w:proofErr w:type="spellStart"/>
      <w:r>
        <w:rPr>
          <w:color w:val="000000"/>
        </w:rPr>
        <w:t>the</w:t>
      </w:r>
      <w:proofErr w:type="spellEnd"/>
      <w:r>
        <w:rPr>
          <w:color w:val="000000"/>
        </w:rPr>
        <w:t xml:space="preserve"> </w:t>
      </w:r>
      <w:proofErr w:type="spellStart"/>
      <w:r>
        <w:rPr>
          <w:color w:val="000000"/>
        </w:rPr>
        <w:t>stud</w:t>
      </w:r>
      <w:r>
        <w:rPr>
          <w:color w:val="000000"/>
        </w:rPr>
        <w:t>y</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the</w:t>
      </w:r>
      <w:proofErr w:type="spellEnd"/>
      <w:r>
        <w:rPr>
          <w:color w:val="000000"/>
        </w:rPr>
        <w:t xml:space="preserve"> </w:t>
      </w:r>
      <w:proofErr w:type="spellStart"/>
      <w:r>
        <w:rPr>
          <w:color w:val="000000"/>
        </w:rPr>
        <w:t>performance</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certain</w:t>
      </w:r>
      <w:proofErr w:type="spellEnd"/>
      <w:r>
        <w:rPr>
          <w:color w:val="000000"/>
        </w:rPr>
        <w:t xml:space="preserve"> </w:t>
      </w:r>
      <w:proofErr w:type="spellStart"/>
      <w:r>
        <w:rPr>
          <w:color w:val="000000"/>
        </w:rPr>
        <w:t>types</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machine</w:t>
      </w:r>
      <w:proofErr w:type="spellEnd"/>
      <w:r>
        <w:rPr>
          <w:color w:val="000000"/>
        </w:rPr>
        <w:t xml:space="preserve">. </w:t>
      </w:r>
      <w:proofErr w:type="spellStart"/>
      <w:r>
        <w:rPr>
          <w:color w:val="000000"/>
        </w:rPr>
        <w:t>Transactions</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the</w:t>
      </w:r>
      <w:proofErr w:type="spellEnd"/>
      <w:r>
        <w:rPr>
          <w:color w:val="000000"/>
        </w:rPr>
        <w:t xml:space="preserve"> </w:t>
      </w:r>
      <w:proofErr w:type="spellStart"/>
      <w:r>
        <w:rPr>
          <w:color w:val="000000"/>
        </w:rPr>
        <w:t>Institution</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Chemical</w:t>
      </w:r>
      <w:proofErr w:type="spellEnd"/>
      <w:r>
        <w:rPr>
          <w:color w:val="000000"/>
        </w:rPr>
        <w:t xml:space="preserve"> </w:t>
      </w:r>
      <w:proofErr w:type="spellStart"/>
      <w:r>
        <w:rPr>
          <w:color w:val="000000"/>
        </w:rPr>
        <w:t>Engineers</w:t>
      </w:r>
      <w:proofErr w:type="spellEnd"/>
      <w:r>
        <w:rPr>
          <w:color w:val="000000"/>
        </w:rPr>
        <w:t xml:space="preserve">, 37, 47–57 </w:t>
      </w:r>
    </w:p>
    <w:sectPr w:rsidR="003E2625">
      <w:pgSz w:w="11906" w:h="16838"/>
      <w:pgMar w:top="851" w:right="851" w:bottom="851" w:left="1418"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36C39"/>
    <w:multiLevelType w:val="multilevel"/>
    <w:tmpl w:val="3976C332"/>
    <w:lvl w:ilvl="0">
      <w:start w:val="1"/>
      <w:numFmt w:val="decimal"/>
      <w:lvlText w:val="%1."/>
      <w:lvlJc w:val="left"/>
      <w:pPr>
        <w:ind w:left="1429" w:hanging="360"/>
      </w:p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2625"/>
    <w:rsid w:val="003E2625"/>
    <w:rsid w:val="00DB22B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D0353"/>
  <w15:docId w15:val="{BD6235BF-842B-44D5-A842-2006433AB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8"/>
        <w:szCs w:val="28"/>
        <w:lang w:val="uk" w:eastAsia="uk-U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3669</Words>
  <Characters>2092</Characters>
  <Application>Microsoft Office Word</Application>
  <DocSecurity>0</DocSecurity>
  <Lines>17</Lines>
  <Paragraphs>11</Paragraphs>
  <ScaleCrop>false</ScaleCrop>
  <Company/>
  <LinksUpToDate>false</LinksUpToDate>
  <CharactersWithSpaces>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VR</dc:creator>
  <cp:lastModifiedBy>Victor Rebenko</cp:lastModifiedBy>
  <cp:revision>2</cp:revision>
  <dcterms:created xsi:type="dcterms:W3CDTF">2025-09-17T09:23:00Z</dcterms:created>
  <dcterms:modified xsi:type="dcterms:W3CDTF">2025-09-17T09:23:00Z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2f42487ca3a63c027a377f759c51b6fee6a280c8976e463b3d5f8de1850dbdc6</vt:lpwstr>
  </property>
</Properties>
</file>