
<file path=[Content_Types].xml><?xml version="1.0" encoding="utf-8"?>
<Types xmlns="http://schemas.openxmlformats.org/package/2006/content-types">
  <Default Extension="jpe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7799A0FD" w:rsidR="00995A9E" w:rsidRPr="006841A8" w:rsidRDefault="00995A9E" w:rsidP="00F65193">
      <w:pPr>
        <w:spacing w:line="276" w:lineRule="auto"/>
        <w:ind w:firstLine="0"/>
        <w:rPr>
          <w:sz w:val="28"/>
          <w:szCs w:val="28"/>
        </w:rPr>
      </w:pPr>
      <w:r w:rsidRPr="006841A8">
        <w:rPr>
          <w:sz w:val="28"/>
          <w:szCs w:val="28"/>
        </w:rPr>
        <w:t xml:space="preserve">УДК </w:t>
      </w:r>
      <w:r w:rsidR="00F65193" w:rsidRPr="00F65193">
        <w:rPr>
          <w:sz w:val="28"/>
          <w:szCs w:val="28"/>
        </w:rPr>
        <w:t>636.084.74</w:t>
      </w:r>
    </w:p>
    <w:p w14:paraId="102E8AD0" w14:textId="77777777" w:rsidR="00700658" w:rsidRPr="006841A8" w:rsidRDefault="00700658" w:rsidP="00F65193">
      <w:pPr>
        <w:spacing w:line="276" w:lineRule="auto"/>
        <w:ind w:firstLine="0"/>
        <w:rPr>
          <w:sz w:val="28"/>
          <w:szCs w:val="28"/>
        </w:rPr>
      </w:pPr>
    </w:p>
    <w:p w14:paraId="648FFEA3" w14:textId="4EF294B2" w:rsidR="00D072F7" w:rsidRPr="006841A8" w:rsidRDefault="00F65193" w:rsidP="00F65193">
      <w:pPr>
        <w:spacing w:line="276" w:lineRule="auto"/>
        <w:ind w:firstLine="0"/>
        <w:jc w:val="center"/>
        <w:rPr>
          <w:b/>
          <w:caps/>
          <w:sz w:val="28"/>
          <w:szCs w:val="28"/>
        </w:rPr>
      </w:pPr>
      <w:r w:rsidRPr="00F65193">
        <w:rPr>
          <w:b/>
          <w:caps/>
          <w:sz w:val="28"/>
          <w:szCs w:val="28"/>
        </w:rPr>
        <w:t>ОБҐРУНТУВАННЯ ВИБОРУ КОНСТРУКТИВНО-ТЕХНОЛОГІЧНОЇ СХЕМИ МОБІЛЬНОГО МОДУЛЬНОГО ЗМІШУВАЧА-РОЗДАВАЧА КОРМІВ</w:t>
      </w:r>
    </w:p>
    <w:p w14:paraId="0328B272" w14:textId="77777777" w:rsidR="00995A9E" w:rsidRPr="006841A8" w:rsidRDefault="00995A9E" w:rsidP="00F65193">
      <w:pPr>
        <w:spacing w:line="276" w:lineRule="auto"/>
        <w:ind w:firstLine="0"/>
        <w:jc w:val="center"/>
        <w:rPr>
          <w:rFonts w:cs="Times New Roman"/>
          <w:b/>
          <w:sz w:val="28"/>
          <w:szCs w:val="28"/>
        </w:rPr>
      </w:pPr>
    </w:p>
    <w:p w14:paraId="4ECD47D3" w14:textId="593F58B7" w:rsidR="00F65193" w:rsidRPr="00F65193" w:rsidRDefault="00F65193" w:rsidP="00F65193">
      <w:pPr>
        <w:widowControl/>
        <w:spacing w:line="276" w:lineRule="auto"/>
        <w:jc w:val="center"/>
        <w:rPr>
          <w:rFonts w:eastAsia="Calibri" w:cs="Times New Roman"/>
          <w:sz w:val="28"/>
          <w:szCs w:val="28"/>
        </w:rPr>
      </w:pPr>
      <w:r w:rsidRPr="00F65193">
        <w:rPr>
          <w:rFonts w:eastAsia="Calibri" w:cs="Times New Roman"/>
          <w:b/>
          <w:sz w:val="28"/>
          <w:szCs w:val="28"/>
        </w:rPr>
        <w:t>Куликівський В.Л.</w:t>
      </w:r>
      <w:r w:rsidRPr="00F65193">
        <w:rPr>
          <w:rFonts w:eastAsia="Calibri" w:cs="Times New Roman"/>
          <w:sz w:val="28"/>
          <w:szCs w:val="28"/>
        </w:rPr>
        <w:t xml:space="preserve">, </w:t>
      </w:r>
      <w:proofErr w:type="spellStart"/>
      <w:r w:rsidRPr="00F65193">
        <w:rPr>
          <w:rFonts w:eastAsia="Calibri" w:cs="Times New Roman"/>
          <w:sz w:val="28"/>
          <w:szCs w:val="28"/>
        </w:rPr>
        <w:t>к.т.н</w:t>
      </w:r>
      <w:proofErr w:type="spellEnd"/>
      <w:r w:rsidRPr="00F65193">
        <w:rPr>
          <w:rFonts w:eastAsia="Calibri" w:cs="Times New Roman"/>
          <w:sz w:val="28"/>
          <w:szCs w:val="28"/>
        </w:rPr>
        <w:t>., доц</w:t>
      </w:r>
      <w:r>
        <w:rPr>
          <w:rFonts w:eastAsia="Calibri" w:cs="Times New Roman"/>
          <w:sz w:val="28"/>
          <w:szCs w:val="28"/>
        </w:rPr>
        <w:t>ент,</w:t>
      </w:r>
      <w:r w:rsidRPr="00F65193">
        <w:rPr>
          <w:rFonts w:eastAsia="Calibri" w:cs="Times New Roman"/>
          <w:sz w:val="28"/>
          <w:szCs w:val="28"/>
        </w:rPr>
        <w:t xml:space="preserve"> </w:t>
      </w:r>
      <w:r w:rsidRPr="00F65193">
        <w:rPr>
          <w:rFonts w:eastAsia="Calibri" w:cs="Times New Roman"/>
          <w:sz w:val="28"/>
          <w:szCs w:val="28"/>
        </w:rPr>
        <w:t>kylikovskiyv@ukr.net</w:t>
      </w:r>
    </w:p>
    <w:p w14:paraId="2125AC2C" w14:textId="77777777" w:rsidR="00F65193" w:rsidRPr="00F65193" w:rsidRDefault="00F65193" w:rsidP="00F65193">
      <w:pPr>
        <w:widowControl/>
        <w:spacing w:line="276" w:lineRule="auto"/>
        <w:jc w:val="center"/>
        <w:rPr>
          <w:rFonts w:eastAsia="Calibri" w:cs="Times New Roman"/>
          <w:i/>
          <w:sz w:val="28"/>
          <w:szCs w:val="28"/>
        </w:rPr>
      </w:pPr>
      <w:r w:rsidRPr="00F65193">
        <w:rPr>
          <w:rFonts w:eastAsia="Calibri" w:cs="Times New Roman"/>
          <w:i/>
          <w:sz w:val="28"/>
          <w:szCs w:val="28"/>
        </w:rPr>
        <w:t>Поліський національний університет, м. Житомир</w:t>
      </w:r>
    </w:p>
    <w:p w14:paraId="6C75590E" w14:textId="77777777" w:rsidR="00995A9E" w:rsidRPr="006841A8" w:rsidRDefault="00995A9E" w:rsidP="00F65193">
      <w:pPr>
        <w:spacing w:line="276" w:lineRule="auto"/>
        <w:ind w:firstLine="0"/>
        <w:jc w:val="center"/>
        <w:rPr>
          <w:b/>
          <w:caps/>
          <w:sz w:val="28"/>
          <w:szCs w:val="28"/>
        </w:rPr>
      </w:pPr>
    </w:p>
    <w:p w14:paraId="03BEBFD4" w14:textId="77777777" w:rsidR="00F65193" w:rsidRPr="00F65193" w:rsidRDefault="00F65193" w:rsidP="00F65193">
      <w:pPr>
        <w:spacing w:line="276" w:lineRule="auto"/>
        <w:jc w:val="both"/>
        <w:rPr>
          <w:rFonts w:cs="Times New Roman"/>
          <w:sz w:val="28"/>
          <w:szCs w:val="28"/>
        </w:rPr>
      </w:pPr>
      <w:r w:rsidRPr="00F65193">
        <w:rPr>
          <w:rFonts w:cs="Times New Roman"/>
          <w:b/>
          <w:bCs/>
          <w:sz w:val="28"/>
          <w:szCs w:val="28"/>
        </w:rPr>
        <w:t>Постановка питання</w:t>
      </w:r>
      <w:r w:rsidRPr="00F65193">
        <w:rPr>
          <w:rFonts w:cs="Times New Roman"/>
          <w:sz w:val="28"/>
          <w:szCs w:val="28"/>
        </w:rPr>
        <w:t>. Одним із напрямів скорочення енергоємності машин та обладнання, задіяних у процесі приготування та роздавання кормів тваринам є вибір способу згодовування продуктів. Він має бути реалізований з урахуванням фізіологічних процесів, що відбуваються в організмі тварин під час годівлі.</w:t>
      </w:r>
    </w:p>
    <w:p w14:paraId="47D1DBCA" w14:textId="77777777" w:rsidR="00F65193" w:rsidRPr="00F65193" w:rsidRDefault="00F65193" w:rsidP="00F65193">
      <w:pPr>
        <w:spacing w:line="276" w:lineRule="auto"/>
        <w:jc w:val="both"/>
        <w:rPr>
          <w:rFonts w:cs="Times New Roman"/>
          <w:sz w:val="28"/>
          <w:szCs w:val="28"/>
        </w:rPr>
      </w:pPr>
      <w:r w:rsidRPr="00F65193">
        <w:rPr>
          <w:rFonts w:cs="Times New Roman"/>
          <w:b/>
          <w:bCs/>
          <w:sz w:val="28"/>
          <w:szCs w:val="28"/>
        </w:rPr>
        <w:t>Короткий огляд стану досліджень</w:t>
      </w:r>
      <w:r w:rsidRPr="00F65193">
        <w:rPr>
          <w:rFonts w:cs="Times New Roman"/>
          <w:sz w:val="28"/>
          <w:szCs w:val="28"/>
        </w:rPr>
        <w:t xml:space="preserve">. Широко відомі два способи годівлі тварин на фермах великої рогатої худоби [1]. Перший спосіб полягає у роздільному, послідовному видаванні тваринам грубих, соковитих та концентрованих кормів. Даний виробничий процес дуже енергоємний, оскільки для видавання кормів необхідне різне обладнання, від механізованих транспортних засобів до ручної техніки. Водночас дуже складно організувати дозоване видавання кормів, що негативно позначається на їх засвоюванні тваринами. Така операція, як видавання концентрованих кормів, супроводжується виділенням легкої фракції у навколишнє середовище, наслідком є втрати частини необхідних тваринам елементів живлення. Істотним недоліком даного способу є збільшення тривалості процесу годування, що погіршує апетит тварин. Інший спосіб годування полягає в одночасному роздаванні всіх видів кормів у вигляді </w:t>
      </w:r>
      <w:proofErr w:type="spellStart"/>
      <w:r w:rsidRPr="00F65193">
        <w:rPr>
          <w:rFonts w:cs="Times New Roman"/>
          <w:sz w:val="28"/>
          <w:szCs w:val="28"/>
        </w:rPr>
        <w:t>кормосуміші</w:t>
      </w:r>
      <w:proofErr w:type="spellEnd"/>
      <w:r w:rsidRPr="00F65193">
        <w:rPr>
          <w:rFonts w:cs="Times New Roman"/>
          <w:sz w:val="28"/>
          <w:szCs w:val="28"/>
        </w:rPr>
        <w:t xml:space="preserve"> [2, 3]. Він дозволяє підвищити продуктивність тварин за рахунок взаємодоповнюючої дії компонентів суміші та збільшити споживання кормів на 6…10 % у молочних корів і 11…16 % в молодняку на відгодівлі, а також знизити втрати кормів на 11…16 %.</w:t>
      </w:r>
    </w:p>
    <w:p w14:paraId="58E9C1ED" w14:textId="77777777" w:rsidR="00F65193" w:rsidRPr="00F65193" w:rsidRDefault="00F65193" w:rsidP="00F65193">
      <w:pPr>
        <w:spacing w:line="276" w:lineRule="auto"/>
        <w:jc w:val="both"/>
        <w:rPr>
          <w:rFonts w:cs="Times New Roman"/>
          <w:sz w:val="28"/>
          <w:szCs w:val="28"/>
        </w:rPr>
      </w:pPr>
      <w:r w:rsidRPr="00F65193">
        <w:rPr>
          <w:rFonts w:cs="Times New Roman"/>
          <w:b/>
          <w:bCs/>
          <w:sz w:val="28"/>
          <w:szCs w:val="28"/>
        </w:rPr>
        <w:t>Виклад основного матеріалу</w:t>
      </w:r>
      <w:r w:rsidRPr="00F65193">
        <w:rPr>
          <w:rFonts w:cs="Times New Roman"/>
          <w:sz w:val="28"/>
          <w:szCs w:val="28"/>
        </w:rPr>
        <w:t xml:space="preserve">. Важливою технологічною операцією під час реалізації запропонованої енергозберігаючої технології приготування та роздавання кормів тваринам є саме процес розподілення готових сумішей. Згідно з технологією в годівниці великої рогатої худоби (ВРХ) видається </w:t>
      </w:r>
      <w:proofErr w:type="spellStart"/>
      <w:r w:rsidRPr="00F65193">
        <w:rPr>
          <w:rFonts w:cs="Times New Roman"/>
          <w:sz w:val="28"/>
          <w:szCs w:val="28"/>
        </w:rPr>
        <w:t>кормосуміш</w:t>
      </w:r>
      <w:proofErr w:type="spellEnd"/>
      <w:r w:rsidRPr="00F65193">
        <w:rPr>
          <w:rFonts w:cs="Times New Roman"/>
          <w:sz w:val="28"/>
          <w:szCs w:val="28"/>
        </w:rPr>
        <w:t>, яка формується з двох груп кормів – об'ємних силосованих стеблових кормів та багатокомпонентної високоенергетичної добавки.</w:t>
      </w:r>
    </w:p>
    <w:p w14:paraId="1AC1905E" w14:textId="77777777" w:rsidR="00F65193" w:rsidRPr="00F65193" w:rsidRDefault="00F65193" w:rsidP="00F65193">
      <w:pPr>
        <w:spacing w:line="276" w:lineRule="auto"/>
        <w:jc w:val="both"/>
        <w:rPr>
          <w:rFonts w:cs="Times New Roman"/>
          <w:sz w:val="28"/>
          <w:szCs w:val="28"/>
        </w:rPr>
      </w:pPr>
      <w:r w:rsidRPr="00F65193">
        <w:rPr>
          <w:rFonts w:cs="Times New Roman"/>
          <w:sz w:val="28"/>
          <w:szCs w:val="28"/>
        </w:rPr>
        <w:t xml:space="preserve">Стеблові та високоенергетичні корми видаються тваринам у заданій кількості, яка повинна зберігатися протягом виконання технологічної операції. Відповідно до запропонованої енергозберігаючої технології годівлі тварин складено поопераційну технологічну схему робочого процесу мобільного </w:t>
      </w:r>
      <w:r w:rsidRPr="00F65193">
        <w:rPr>
          <w:rFonts w:cs="Times New Roman"/>
          <w:sz w:val="28"/>
          <w:szCs w:val="28"/>
        </w:rPr>
        <w:lastRenderedPageBreak/>
        <w:t>модульного змішувача-роздавача (рис. 1).</w:t>
      </w:r>
    </w:p>
    <w:p w14:paraId="0ECC35E0" w14:textId="77777777" w:rsidR="00F65193" w:rsidRPr="00F65193" w:rsidRDefault="00F65193" w:rsidP="00F65193">
      <w:pPr>
        <w:spacing w:line="276" w:lineRule="auto"/>
        <w:ind w:firstLine="0"/>
        <w:jc w:val="center"/>
        <w:rPr>
          <w:rFonts w:cs="Times New Roman"/>
          <w:sz w:val="28"/>
          <w:szCs w:val="28"/>
        </w:rPr>
      </w:pPr>
      <w:r w:rsidRPr="00F65193">
        <w:rPr>
          <w:rFonts w:cs="Times New Roman"/>
          <w:sz w:val="28"/>
          <w:szCs w:val="28"/>
          <w:lang w:val="ru-RU"/>
        </w:rPr>
        <w:drawing>
          <wp:inline distT="0" distB="0" distL="0" distR="0" wp14:anchorId="5AD26816" wp14:editId="54EFED15">
            <wp:extent cx="3673961" cy="3638550"/>
            <wp:effectExtent l="0" t="0" r="3175" b="0"/>
            <wp:docPr id="2" name="Рисунок 2" descr="C:\Users\Администратор\Desktop\Фрагмен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истратор\Desktop\Фрагмент.jpg"/>
                    <pic:cNvPicPr>
                      <a:picLocks noChangeAspect="1" noChangeArrowheads="1"/>
                    </pic:cNvPicPr>
                  </pic:nvPicPr>
                  <pic:blipFill>
                    <a:blip r:embed="rId5" cstate="print">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3673961" cy="3638550"/>
                    </a:xfrm>
                    <a:prstGeom prst="rect">
                      <a:avLst/>
                    </a:prstGeom>
                    <a:noFill/>
                    <a:ln>
                      <a:noFill/>
                    </a:ln>
                  </pic:spPr>
                </pic:pic>
              </a:graphicData>
            </a:graphic>
          </wp:inline>
        </w:drawing>
      </w:r>
    </w:p>
    <w:p w14:paraId="4B3B900A" w14:textId="77777777" w:rsidR="00F65193" w:rsidRPr="00F65193" w:rsidRDefault="00F65193" w:rsidP="00F65193">
      <w:pPr>
        <w:spacing w:line="276" w:lineRule="auto"/>
        <w:ind w:firstLine="0"/>
        <w:jc w:val="center"/>
        <w:rPr>
          <w:rFonts w:cs="Times New Roman"/>
          <w:sz w:val="28"/>
          <w:szCs w:val="28"/>
        </w:rPr>
      </w:pPr>
      <w:r w:rsidRPr="00F65193">
        <w:rPr>
          <w:rFonts w:cs="Times New Roman"/>
          <w:sz w:val="28"/>
          <w:szCs w:val="28"/>
        </w:rPr>
        <w:t>Рис. 1. Поопераційна технологічна схема робочого процесу мобільного модульного змішувача-роздавача кормів</w:t>
      </w:r>
    </w:p>
    <w:p w14:paraId="4711BC47" w14:textId="77777777" w:rsidR="00F65193" w:rsidRPr="00F65193" w:rsidRDefault="00F65193" w:rsidP="00F65193">
      <w:pPr>
        <w:spacing w:line="276" w:lineRule="auto"/>
        <w:ind w:firstLine="0"/>
        <w:jc w:val="center"/>
        <w:rPr>
          <w:rFonts w:cs="Times New Roman"/>
          <w:sz w:val="28"/>
          <w:szCs w:val="28"/>
        </w:rPr>
      </w:pPr>
    </w:p>
    <w:p w14:paraId="0E70D82C" w14:textId="77777777" w:rsidR="00F65193" w:rsidRPr="00F65193" w:rsidRDefault="00F65193" w:rsidP="00F65193">
      <w:pPr>
        <w:spacing w:line="276" w:lineRule="auto"/>
        <w:jc w:val="both"/>
        <w:rPr>
          <w:rFonts w:cs="Times New Roman"/>
          <w:sz w:val="28"/>
          <w:szCs w:val="28"/>
        </w:rPr>
      </w:pPr>
      <w:r w:rsidRPr="00F65193">
        <w:rPr>
          <w:rFonts w:cs="Times New Roman"/>
          <w:sz w:val="28"/>
          <w:szCs w:val="28"/>
        </w:rPr>
        <w:t xml:space="preserve">З представленої технологічної схеми видно, що ряд операцій може виконуватися із застосуванням тих самих технічних засобів. Так, операція зважування кормів може бути виконана послідовно, в міру їхнього завантаження у бункер. Видавання у годівниці </w:t>
      </w:r>
      <w:proofErr w:type="spellStart"/>
      <w:r w:rsidRPr="00F65193">
        <w:rPr>
          <w:rFonts w:cs="Times New Roman"/>
          <w:sz w:val="28"/>
          <w:szCs w:val="28"/>
        </w:rPr>
        <w:t>кормосуміші</w:t>
      </w:r>
      <w:proofErr w:type="spellEnd"/>
      <w:r w:rsidRPr="00F65193">
        <w:rPr>
          <w:rFonts w:cs="Times New Roman"/>
          <w:sz w:val="28"/>
          <w:szCs w:val="28"/>
        </w:rPr>
        <w:t xml:space="preserve"> із двох дозованих груп кормів одним агрегатом відповідає зоотехнічним вимогам годівлі тварин.</w:t>
      </w:r>
    </w:p>
    <w:p w14:paraId="1A21C470" w14:textId="77777777" w:rsidR="00F65193" w:rsidRPr="00F65193" w:rsidRDefault="00F65193" w:rsidP="00F65193">
      <w:pPr>
        <w:spacing w:line="276" w:lineRule="auto"/>
        <w:jc w:val="both"/>
        <w:rPr>
          <w:rFonts w:cs="Times New Roman"/>
          <w:sz w:val="28"/>
          <w:szCs w:val="28"/>
        </w:rPr>
      </w:pPr>
      <w:r w:rsidRPr="00F65193">
        <w:rPr>
          <w:rFonts w:cs="Times New Roman"/>
          <w:sz w:val="28"/>
          <w:szCs w:val="28"/>
        </w:rPr>
        <w:t xml:space="preserve">Істотно відрізняється процес навантаження двох видів </w:t>
      </w:r>
      <w:proofErr w:type="spellStart"/>
      <w:r w:rsidRPr="00F65193">
        <w:rPr>
          <w:rFonts w:cs="Times New Roman"/>
          <w:sz w:val="28"/>
          <w:szCs w:val="28"/>
        </w:rPr>
        <w:t>кормосумішей</w:t>
      </w:r>
      <w:proofErr w:type="spellEnd"/>
      <w:r w:rsidRPr="00F65193">
        <w:rPr>
          <w:rFonts w:cs="Times New Roman"/>
          <w:sz w:val="28"/>
          <w:szCs w:val="28"/>
        </w:rPr>
        <w:t>. Багатокомпонентна високоенергетична добавка завантажується в бункер вивантажувальним транспортером у пунктах приготування суміші або готується з компонентів в модулі, а навантаження стеблових кормів здійснюється у місцях їх зберігання.</w:t>
      </w:r>
    </w:p>
    <w:p w14:paraId="1C79B5DC" w14:textId="7C69F4ED" w:rsidR="00F65193" w:rsidRDefault="00F65193" w:rsidP="00F65193">
      <w:pPr>
        <w:spacing w:line="276" w:lineRule="auto"/>
        <w:jc w:val="both"/>
        <w:rPr>
          <w:rFonts w:cs="Times New Roman"/>
          <w:sz w:val="28"/>
          <w:szCs w:val="28"/>
        </w:rPr>
      </w:pPr>
      <w:r w:rsidRPr="00F65193">
        <w:rPr>
          <w:rFonts w:cs="Times New Roman"/>
          <w:b/>
          <w:bCs/>
          <w:sz w:val="28"/>
          <w:szCs w:val="28"/>
        </w:rPr>
        <w:t>Висновки</w:t>
      </w:r>
      <w:r w:rsidRPr="00F65193">
        <w:rPr>
          <w:rFonts w:cs="Times New Roman"/>
          <w:sz w:val="28"/>
          <w:szCs w:val="28"/>
        </w:rPr>
        <w:t xml:space="preserve">. З метою скорочення кількості машин, а отже і енергоємності операції навантаження кормів, ефективно комплектувати мобільний змішувач-роздавач відповідним обладнанням. Поєднання окремих технічних систем в одному змішувачі-кормороздавачі дозволяє зменшити кількість машин для реалізації технологічного процесу при збереженні зоотехнічних вимог, а також скоротити до мінімуму час на роздавання кормів. Під час подальших розробок </w:t>
      </w:r>
      <w:proofErr w:type="spellStart"/>
      <w:r w:rsidRPr="00F65193">
        <w:rPr>
          <w:rFonts w:cs="Times New Roman"/>
          <w:sz w:val="28"/>
          <w:szCs w:val="28"/>
        </w:rPr>
        <w:t>конструкторсько</w:t>
      </w:r>
      <w:proofErr w:type="spellEnd"/>
      <w:r w:rsidRPr="00F65193">
        <w:rPr>
          <w:rFonts w:cs="Times New Roman"/>
          <w:sz w:val="28"/>
          <w:szCs w:val="28"/>
        </w:rPr>
        <w:t>-технологічних схем мобільних змішувачів-роздавачів кормів необхідно врахувати світові тенденції щодо створення машин даного призначення.</w:t>
      </w:r>
    </w:p>
    <w:p w14:paraId="07E628C1" w14:textId="23B622F2" w:rsidR="00F65193" w:rsidRDefault="00F65193" w:rsidP="00F65193">
      <w:pPr>
        <w:spacing w:line="276" w:lineRule="auto"/>
        <w:jc w:val="both"/>
        <w:rPr>
          <w:rFonts w:cs="Times New Roman"/>
          <w:sz w:val="28"/>
          <w:szCs w:val="28"/>
        </w:rPr>
      </w:pPr>
    </w:p>
    <w:p w14:paraId="1D67658C" w14:textId="77777777" w:rsidR="00F65193" w:rsidRPr="00F65193" w:rsidRDefault="00F65193" w:rsidP="00F65193">
      <w:pPr>
        <w:spacing w:line="276" w:lineRule="auto"/>
        <w:jc w:val="both"/>
        <w:rPr>
          <w:rFonts w:cs="Times New Roman"/>
          <w:sz w:val="28"/>
          <w:szCs w:val="28"/>
        </w:rPr>
      </w:pPr>
    </w:p>
    <w:p w14:paraId="06AC4F8B" w14:textId="77777777" w:rsidR="00F65193" w:rsidRPr="00F65193" w:rsidRDefault="00F65193" w:rsidP="00F65193">
      <w:pPr>
        <w:spacing w:line="276" w:lineRule="auto"/>
        <w:ind w:firstLine="0"/>
        <w:jc w:val="center"/>
        <w:rPr>
          <w:rFonts w:cs="Times New Roman"/>
          <w:b/>
          <w:sz w:val="28"/>
          <w:szCs w:val="28"/>
        </w:rPr>
      </w:pPr>
      <w:r w:rsidRPr="00F65193">
        <w:rPr>
          <w:rFonts w:cs="Times New Roman"/>
          <w:b/>
          <w:sz w:val="28"/>
          <w:szCs w:val="28"/>
        </w:rPr>
        <w:lastRenderedPageBreak/>
        <w:t>БІБЛІОГРАФІЯ</w:t>
      </w:r>
    </w:p>
    <w:p w14:paraId="1B744BD5" w14:textId="77777777" w:rsidR="00F65193" w:rsidRPr="00F65193" w:rsidRDefault="00F65193" w:rsidP="00F65193">
      <w:pPr>
        <w:spacing w:line="276" w:lineRule="auto"/>
        <w:jc w:val="both"/>
        <w:rPr>
          <w:rFonts w:cs="Times New Roman"/>
          <w:bCs/>
          <w:sz w:val="28"/>
          <w:szCs w:val="28"/>
        </w:rPr>
      </w:pPr>
      <w:r w:rsidRPr="00F65193">
        <w:rPr>
          <w:rFonts w:cs="Times New Roman"/>
          <w:bCs/>
          <w:sz w:val="28"/>
          <w:szCs w:val="28"/>
        </w:rPr>
        <w:t>1. Радчук В. В., Потапова С. Є. Сучасні технології та технічні засоби годівлі великої рогатої худоби</w:t>
      </w:r>
      <w:r w:rsidRPr="00F65193">
        <w:rPr>
          <w:rFonts w:cs="Times New Roman"/>
          <w:bCs/>
          <w:i/>
          <w:sz w:val="28"/>
          <w:szCs w:val="28"/>
        </w:rPr>
        <w:t xml:space="preserve">. </w:t>
      </w:r>
      <w:proofErr w:type="spellStart"/>
      <w:r w:rsidRPr="00F65193">
        <w:rPr>
          <w:rFonts w:cs="Times New Roman"/>
          <w:bCs/>
          <w:i/>
          <w:sz w:val="28"/>
          <w:szCs w:val="28"/>
        </w:rPr>
        <w:t>Machinery</w:t>
      </w:r>
      <w:proofErr w:type="spellEnd"/>
      <w:r w:rsidRPr="00F65193">
        <w:rPr>
          <w:rFonts w:cs="Times New Roman"/>
          <w:bCs/>
          <w:i/>
          <w:sz w:val="28"/>
          <w:szCs w:val="28"/>
        </w:rPr>
        <w:t xml:space="preserve"> &amp; </w:t>
      </w:r>
      <w:proofErr w:type="spellStart"/>
      <w:r w:rsidRPr="00F65193">
        <w:rPr>
          <w:rFonts w:cs="Times New Roman"/>
          <w:bCs/>
          <w:i/>
          <w:sz w:val="28"/>
          <w:szCs w:val="28"/>
        </w:rPr>
        <w:t>Energetics</w:t>
      </w:r>
      <w:proofErr w:type="spellEnd"/>
      <w:r w:rsidRPr="00F65193">
        <w:rPr>
          <w:rFonts w:cs="Times New Roman"/>
          <w:bCs/>
          <w:sz w:val="28"/>
          <w:szCs w:val="28"/>
        </w:rPr>
        <w:t xml:space="preserve">. 2020. </w:t>
      </w:r>
      <w:proofErr w:type="spellStart"/>
      <w:r w:rsidRPr="00F65193">
        <w:rPr>
          <w:rFonts w:cs="Times New Roman"/>
          <w:bCs/>
          <w:sz w:val="28"/>
          <w:szCs w:val="28"/>
        </w:rPr>
        <w:t>Vol</w:t>
      </w:r>
      <w:proofErr w:type="spellEnd"/>
      <w:r w:rsidRPr="00F65193">
        <w:rPr>
          <w:rFonts w:cs="Times New Roman"/>
          <w:bCs/>
          <w:sz w:val="28"/>
          <w:szCs w:val="28"/>
        </w:rPr>
        <w:t xml:space="preserve">. 11, </w:t>
      </w:r>
      <w:proofErr w:type="spellStart"/>
      <w:r w:rsidRPr="00F65193">
        <w:rPr>
          <w:rFonts w:cs="Times New Roman"/>
          <w:bCs/>
          <w:sz w:val="28"/>
          <w:szCs w:val="28"/>
        </w:rPr>
        <w:t>No</w:t>
      </w:r>
      <w:proofErr w:type="spellEnd"/>
      <w:r w:rsidRPr="00F65193">
        <w:rPr>
          <w:rFonts w:cs="Times New Roman"/>
          <w:bCs/>
          <w:sz w:val="28"/>
          <w:szCs w:val="28"/>
        </w:rPr>
        <w:t xml:space="preserve"> 2. Р. 137</w:t>
      </w:r>
      <w:r w:rsidRPr="00F65193">
        <w:rPr>
          <w:rFonts w:cs="Times New Roman"/>
          <w:sz w:val="28"/>
          <w:szCs w:val="28"/>
        </w:rPr>
        <w:t>–</w:t>
      </w:r>
      <w:r w:rsidRPr="00F65193">
        <w:rPr>
          <w:rFonts w:cs="Times New Roman"/>
          <w:bCs/>
          <w:sz w:val="28"/>
          <w:szCs w:val="28"/>
        </w:rPr>
        <w:t>143.</w:t>
      </w:r>
    </w:p>
    <w:p w14:paraId="578DF708" w14:textId="77777777" w:rsidR="00F65193" w:rsidRPr="00F65193" w:rsidRDefault="00F65193" w:rsidP="00F65193">
      <w:pPr>
        <w:spacing w:line="276" w:lineRule="auto"/>
        <w:jc w:val="both"/>
        <w:rPr>
          <w:rFonts w:cs="Times New Roman"/>
          <w:sz w:val="28"/>
          <w:szCs w:val="28"/>
        </w:rPr>
      </w:pPr>
      <w:r w:rsidRPr="00F65193">
        <w:rPr>
          <w:rFonts w:cs="Times New Roman"/>
          <w:sz w:val="28"/>
          <w:szCs w:val="28"/>
        </w:rPr>
        <w:t xml:space="preserve">2. Куликівський В. Л. Аналіз ресурсозберігаючих технологій приготування та роздавання кормових сумішей тваринам. </w:t>
      </w:r>
      <w:r w:rsidRPr="00F65193">
        <w:rPr>
          <w:rFonts w:cs="Times New Roman"/>
          <w:i/>
          <w:sz w:val="28"/>
          <w:szCs w:val="28"/>
        </w:rPr>
        <w:t>Технічний прогрес у тваринництві та кормовиробництві</w:t>
      </w:r>
      <w:r w:rsidRPr="00F65193">
        <w:rPr>
          <w:rFonts w:cs="Times New Roman"/>
          <w:sz w:val="28"/>
          <w:szCs w:val="28"/>
        </w:rPr>
        <w:t xml:space="preserve"> : XІІІ Міжнародна науково-технічна конференція, смт Глеваха Київської області – м. Київ, Україна, 1–18 </w:t>
      </w:r>
      <w:proofErr w:type="spellStart"/>
      <w:r w:rsidRPr="00F65193">
        <w:rPr>
          <w:rFonts w:cs="Times New Roman"/>
          <w:sz w:val="28"/>
          <w:szCs w:val="28"/>
        </w:rPr>
        <w:t>жовт</w:t>
      </w:r>
      <w:proofErr w:type="spellEnd"/>
      <w:r w:rsidRPr="00F65193">
        <w:rPr>
          <w:rFonts w:cs="Times New Roman"/>
          <w:sz w:val="28"/>
          <w:szCs w:val="28"/>
        </w:rPr>
        <w:t>. 2024 р. : матеріали конференції. Глеваха-Київ. 2024. С. 58–60.</w:t>
      </w:r>
    </w:p>
    <w:p w14:paraId="7C4AC0C6" w14:textId="77777777" w:rsidR="00F65193" w:rsidRPr="00F65193" w:rsidRDefault="00F65193" w:rsidP="00F65193">
      <w:pPr>
        <w:spacing w:line="276" w:lineRule="auto"/>
        <w:jc w:val="both"/>
        <w:rPr>
          <w:rFonts w:cs="Times New Roman"/>
          <w:bCs/>
          <w:sz w:val="28"/>
          <w:szCs w:val="28"/>
        </w:rPr>
      </w:pPr>
      <w:r w:rsidRPr="00F65193">
        <w:rPr>
          <w:rFonts w:cs="Times New Roman"/>
          <w:bCs/>
          <w:sz w:val="28"/>
          <w:szCs w:val="28"/>
        </w:rPr>
        <w:t xml:space="preserve">3. </w:t>
      </w:r>
      <w:proofErr w:type="spellStart"/>
      <w:r w:rsidRPr="00F65193">
        <w:rPr>
          <w:rFonts w:cs="Times New Roman"/>
          <w:bCs/>
          <w:sz w:val="28"/>
          <w:szCs w:val="28"/>
        </w:rPr>
        <w:t>Хмельовський</w:t>
      </w:r>
      <w:proofErr w:type="spellEnd"/>
      <w:r w:rsidRPr="00F65193">
        <w:rPr>
          <w:rFonts w:cs="Times New Roman"/>
          <w:bCs/>
          <w:sz w:val="28"/>
          <w:szCs w:val="28"/>
        </w:rPr>
        <w:t xml:space="preserve"> В. С., Потапова С. Є. Технологічні та технічні передумови приготування якісної </w:t>
      </w:r>
      <w:proofErr w:type="spellStart"/>
      <w:r w:rsidRPr="00F65193">
        <w:rPr>
          <w:rFonts w:cs="Times New Roman"/>
          <w:bCs/>
          <w:sz w:val="28"/>
          <w:szCs w:val="28"/>
        </w:rPr>
        <w:t>кормосуміші</w:t>
      </w:r>
      <w:proofErr w:type="spellEnd"/>
      <w:r w:rsidRPr="00F65193">
        <w:rPr>
          <w:rFonts w:cs="Times New Roman"/>
          <w:bCs/>
          <w:sz w:val="28"/>
          <w:szCs w:val="28"/>
        </w:rPr>
        <w:t xml:space="preserve"> для ВРХ. </w:t>
      </w:r>
      <w:r w:rsidRPr="00F65193">
        <w:rPr>
          <w:rFonts w:cs="Times New Roman"/>
          <w:bCs/>
          <w:i/>
          <w:sz w:val="28"/>
          <w:szCs w:val="28"/>
        </w:rPr>
        <w:t>Праці Таврійського державного агротехнологічного університету</w:t>
      </w:r>
      <w:r w:rsidRPr="00F65193">
        <w:rPr>
          <w:rFonts w:cs="Times New Roman"/>
          <w:bCs/>
          <w:sz w:val="28"/>
          <w:szCs w:val="28"/>
        </w:rPr>
        <w:t xml:space="preserve">. 2018. </w:t>
      </w:r>
      <w:proofErr w:type="spellStart"/>
      <w:r w:rsidRPr="00F65193">
        <w:rPr>
          <w:rFonts w:cs="Times New Roman"/>
          <w:bCs/>
          <w:sz w:val="28"/>
          <w:szCs w:val="28"/>
        </w:rPr>
        <w:t>Вип</w:t>
      </w:r>
      <w:proofErr w:type="spellEnd"/>
      <w:r w:rsidRPr="00F65193">
        <w:rPr>
          <w:rFonts w:cs="Times New Roman"/>
          <w:bCs/>
          <w:sz w:val="28"/>
          <w:szCs w:val="28"/>
        </w:rPr>
        <w:t>. 18 (2). С. 248</w:t>
      </w:r>
      <w:r w:rsidRPr="00F65193">
        <w:rPr>
          <w:rFonts w:cs="Times New Roman"/>
          <w:sz w:val="28"/>
          <w:szCs w:val="28"/>
        </w:rPr>
        <w:t>–</w:t>
      </w:r>
      <w:r w:rsidRPr="00F65193">
        <w:rPr>
          <w:rFonts w:cs="Times New Roman"/>
          <w:bCs/>
          <w:sz w:val="28"/>
          <w:szCs w:val="28"/>
        </w:rPr>
        <w:t>257.</w:t>
      </w:r>
    </w:p>
    <w:p w14:paraId="46FA1DD3" w14:textId="1B8CC69F" w:rsidR="00F118A1" w:rsidRPr="00F118A1" w:rsidRDefault="00F118A1" w:rsidP="00F65193">
      <w:pPr>
        <w:spacing w:line="276" w:lineRule="auto"/>
        <w:jc w:val="both"/>
        <w:rPr>
          <w:rFonts w:cs="Times New Roman"/>
          <w:sz w:val="28"/>
          <w:szCs w:val="28"/>
        </w:rPr>
      </w:pPr>
    </w:p>
    <w:sectPr w:rsidR="00F118A1" w:rsidRPr="00F118A1"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6C39"/>
    <w:multiLevelType w:val="multilevel"/>
    <w:tmpl w:val="3976C332"/>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3BE63673"/>
    <w:multiLevelType w:val="multilevel"/>
    <w:tmpl w:val="74E876F4"/>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5" w15:restartNumberingAfterBreak="0">
    <w:nsid w:val="4C0238DA"/>
    <w:multiLevelType w:val="multilevel"/>
    <w:tmpl w:val="66F8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D9705B"/>
    <w:multiLevelType w:val="hybridMultilevel"/>
    <w:tmpl w:val="8F264154"/>
    <w:lvl w:ilvl="0" w:tplc="74925EB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7" w15:restartNumberingAfterBreak="0">
    <w:nsid w:val="73583CA6"/>
    <w:multiLevelType w:val="multilevel"/>
    <w:tmpl w:val="1C96F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1"/>
  </w:num>
  <w:num w:numId="4">
    <w:abstractNumId w:val="0"/>
  </w:num>
  <w:num w:numId="5">
    <w:abstractNumId w:val="3"/>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FAD"/>
    <w:rsid w:val="0002415D"/>
    <w:rsid w:val="000842AD"/>
    <w:rsid w:val="000C0A4D"/>
    <w:rsid w:val="00214F38"/>
    <w:rsid w:val="00241324"/>
    <w:rsid w:val="002D20E7"/>
    <w:rsid w:val="0035230F"/>
    <w:rsid w:val="00355DDC"/>
    <w:rsid w:val="00417B1F"/>
    <w:rsid w:val="004B7CB2"/>
    <w:rsid w:val="005460FC"/>
    <w:rsid w:val="005535D1"/>
    <w:rsid w:val="00557BD1"/>
    <w:rsid w:val="00576FA5"/>
    <w:rsid w:val="005D433B"/>
    <w:rsid w:val="00624699"/>
    <w:rsid w:val="0063782D"/>
    <w:rsid w:val="0066558B"/>
    <w:rsid w:val="00675DE7"/>
    <w:rsid w:val="006841A8"/>
    <w:rsid w:val="006E1509"/>
    <w:rsid w:val="00700658"/>
    <w:rsid w:val="00703DCD"/>
    <w:rsid w:val="007415CA"/>
    <w:rsid w:val="00750106"/>
    <w:rsid w:val="007E1217"/>
    <w:rsid w:val="00800AC0"/>
    <w:rsid w:val="00901A47"/>
    <w:rsid w:val="00995A9E"/>
    <w:rsid w:val="009D0567"/>
    <w:rsid w:val="009E358D"/>
    <w:rsid w:val="00A115F0"/>
    <w:rsid w:val="00A212EA"/>
    <w:rsid w:val="00A33FA7"/>
    <w:rsid w:val="00A51FAD"/>
    <w:rsid w:val="00AA23AD"/>
    <w:rsid w:val="00AB5CD4"/>
    <w:rsid w:val="00B12080"/>
    <w:rsid w:val="00B73A1B"/>
    <w:rsid w:val="00B96674"/>
    <w:rsid w:val="00BE1822"/>
    <w:rsid w:val="00BF36F6"/>
    <w:rsid w:val="00D072F7"/>
    <w:rsid w:val="00D60A92"/>
    <w:rsid w:val="00D84B4D"/>
    <w:rsid w:val="00D871F9"/>
    <w:rsid w:val="00DE1766"/>
    <w:rsid w:val="00E95B21"/>
    <w:rsid w:val="00EA2B61"/>
    <w:rsid w:val="00EB1B7E"/>
    <w:rsid w:val="00EC5F48"/>
    <w:rsid w:val="00F01F20"/>
    <w:rsid w:val="00F118A1"/>
    <w:rsid w:val="00F43EBE"/>
    <w:rsid w:val="00F6519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 w:type="character" w:styleId="a7">
    <w:name w:val="Hyperlink"/>
    <w:basedOn w:val="a0"/>
    <w:uiPriority w:val="99"/>
    <w:unhideWhenUsed/>
    <w:rsid w:val="0035230F"/>
    <w:rPr>
      <w:color w:val="0563C1" w:themeColor="hyperlink"/>
      <w:u w:val="single"/>
    </w:rPr>
  </w:style>
  <w:style w:type="character" w:styleId="a8">
    <w:name w:val="Unresolved Mention"/>
    <w:basedOn w:val="a0"/>
    <w:uiPriority w:val="99"/>
    <w:semiHidden/>
    <w:unhideWhenUsed/>
    <w:rsid w:val="003523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2849</Words>
  <Characters>1625</Characters>
  <Application>Microsoft Office Word</Application>
  <DocSecurity>0</DocSecurity>
  <Lines>13</Lines>
  <Paragraphs>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Віктор</dc:creator>
  <cp:lastModifiedBy>Victor Rebenko</cp:lastModifiedBy>
  <cp:revision>3</cp:revision>
  <dcterms:created xsi:type="dcterms:W3CDTF">2025-10-23T18:31:00Z</dcterms:created>
  <dcterms:modified xsi:type="dcterms:W3CDTF">2025-10-23T18:34:00Z</dcterms:modified>
</cp:coreProperties>
</file>