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8C376" w14:textId="243486A1" w:rsidR="00CF2B32" w:rsidRPr="003F4406" w:rsidRDefault="003F4406" w:rsidP="005E5AB3">
      <w:pPr>
        <w:widowControl w:val="0"/>
        <w:spacing w:line="276" w:lineRule="auto"/>
        <w:rPr>
          <w:bCs/>
          <w:lang w:val="en-GB"/>
        </w:rPr>
      </w:pPr>
      <w:r w:rsidRPr="003F4406">
        <w:rPr>
          <w:bCs/>
          <w:lang w:val="en-GB"/>
        </w:rPr>
        <w:t>УДК 662.8.1</w:t>
      </w:r>
    </w:p>
    <w:p w14:paraId="71EF5EF5" w14:textId="77777777" w:rsidR="00CF2B32" w:rsidRPr="005F0A13" w:rsidRDefault="00CF2B32" w:rsidP="005E5AB3">
      <w:pPr>
        <w:widowControl w:val="0"/>
        <w:spacing w:line="276" w:lineRule="auto"/>
        <w:rPr>
          <w:lang w:val="en-GB"/>
        </w:rPr>
      </w:pPr>
    </w:p>
    <w:p w14:paraId="071ACCBA" w14:textId="6C3214EF" w:rsidR="00CF2B32" w:rsidRPr="005F0A13" w:rsidRDefault="003F4406" w:rsidP="005E5AB3">
      <w:pPr>
        <w:widowControl w:val="0"/>
        <w:spacing w:line="276" w:lineRule="auto"/>
        <w:jc w:val="center"/>
        <w:rPr>
          <w:b/>
          <w:lang w:val="en-GB"/>
        </w:rPr>
      </w:pPr>
      <w:r w:rsidRPr="003F4406">
        <w:rPr>
          <w:b/>
          <w:lang w:val="en-GB"/>
        </w:rPr>
        <w:t>ДОСЛІДЖЕННЯ БРИКЕТУВАННЯ СОЛОМИСТИХ МАТЕРІАЛІВ ТА ЗЕРНОВІДХОДІВ УДАРНО-МЕХАНІЧНИМ ПРЕСОМ</w:t>
      </w:r>
    </w:p>
    <w:p w14:paraId="2A2CA874" w14:textId="77777777" w:rsidR="00CF2B32" w:rsidRPr="005F0A13" w:rsidRDefault="00CF2B32" w:rsidP="005E5AB3">
      <w:pPr>
        <w:widowControl w:val="0"/>
        <w:spacing w:line="276" w:lineRule="auto"/>
        <w:rPr>
          <w:lang w:val="en-GB"/>
        </w:rPr>
      </w:pPr>
    </w:p>
    <w:p w14:paraId="11E7927C" w14:textId="20FD6234" w:rsidR="003F4406" w:rsidRPr="003F4406" w:rsidRDefault="003F4406" w:rsidP="003F4406">
      <w:pPr>
        <w:widowControl w:val="0"/>
        <w:spacing w:line="276" w:lineRule="auto"/>
        <w:jc w:val="center"/>
        <w:rPr>
          <w:lang w:val="ru-RU"/>
        </w:rPr>
      </w:pPr>
      <w:r w:rsidRPr="003F4406">
        <w:rPr>
          <w:b/>
        </w:rPr>
        <w:t>Єременко О.І.</w:t>
      </w:r>
      <w:r w:rsidRPr="003F4406">
        <w:t>,</w:t>
      </w:r>
      <w:r w:rsidRPr="003F4406">
        <w:rPr>
          <w:vertAlign w:val="superscript"/>
        </w:rPr>
        <w:t>1</w:t>
      </w:r>
      <w:r w:rsidRPr="003F4406">
        <w:t xml:space="preserve"> </w:t>
      </w:r>
      <w:proofErr w:type="spellStart"/>
      <w:r w:rsidRPr="003F4406">
        <w:t>к.т.н</w:t>
      </w:r>
      <w:proofErr w:type="spellEnd"/>
      <w:r w:rsidRPr="003F4406">
        <w:t>, доц.,</w:t>
      </w:r>
      <w:r w:rsidRPr="003F4406">
        <w:rPr>
          <w:lang w:val="ru-RU"/>
        </w:rPr>
        <w:t xml:space="preserve"> </w:t>
      </w:r>
      <w:r w:rsidRPr="003F4406">
        <w:t>eremolex@nubip.edu.ua</w:t>
      </w:r>
      <w:r>
        <w:t>,</w:t>
      </w:r>
      <w:r w:rsidRPr="003F4406">
        <w:t xml:space="preserve"> </w:t>
      </w:r>
      <w:r w:rsidRPr="003F4406">
        <w:rPr>
          <w:b/>
        </w:rPr>
        <w:t>Субота С.</w:t>
      </w:r>
      <w:r w:rsidRPr="003F4406">
        <w:rPr>
          <w:b/>
          <w:lang w:val="ru-RU"/>
        </w:rPr>
        <w:t>В.,</w:t>
      </w:r>
      <w:r w:rsidRPr="003F4406">
        <w:rPr>
          <w:b/>
          <w:vertAlign w:val="superscript"/>
        </w:rPr>
        <w:t>2</w:t>
      </w:r>
      <w:r w:rsidRPr="003F4406">
        <w:rPr>
          <w:lang w:val="ru-RU"/>
        </w:rPr>
        <w:t xml:space="preserve"> </w:t>
      </w:r>
      <w:proofErr w:type="spellStart"/>
      <w:r w:rsidRPr="003F4406">
        <w:t>с.н.с</w:t>
      </w:r>
      <w:proofErr w:type="spellEnd"/>
      <w:r w:rsidRPr="003F4406">
        <w:t>.</w:t>
      </w:r>
    </w:p>
    <w:p w14:paraId="7BEB54C4" w14:textId="77777777" w:rsidR="003F4406" w:rsidRPr="003F4406" w:rsidRDefault="003F4406" w:rsidP="003F4406">
      <w:pPr>
        <w:widowControl w:val="0"/>
        <w:spacing w:line="276" w:lineRule="auto"/>
        <w:jc w:val="center"/>
        <w:rPr>
          <w:b/>
          <w:i/>
          <w:iCs/>
        </w:rPr>
      </w:pPr>
      <w:r w:rsidRPr="003F4406">
        <w:rPr>
          <w:i/>
          <w:iCs/>
          <w:vertAlign w:val="superscript"/>
        </w:rPr>
        <w:t>1</w:t>
      </w:r>
      <w:r w:rsidRPr="003F4406">
        <w:rPr>
          <w:i/>
          <w:iCs/>
        </w:rPr>
        <w:t>Національний університет біоресурсів і природокористування України</w:t>
      </w:r>
    </w:p>
    <w:p w14:paraId="79BFAECD" w14:textId="77777777" w:rsidR="003F4406" w:rsidRPr="003F4406" w:rsidRDefault="003F4406" w:rsidP="003F4406">
      <w:pPr>
        <w:widowControl w:val="0"/>
        <w:spacing w:line="276" w:lineRule="auto"/>
        <w:jc w:val="center"/>
        <w:rPr>
          <w:i/>
          <w:iCs/>
        </w:rPr>
      </w:pPr>
      <w:r w:rsidRPr="003F4406">
        <w:rPr>
          <w:i/>
          <w:iCs/>
          <w:vertAlign w:val="superscript"/>
        </w:rPr>
        <w:t>2</w:t>
      </w:r>
      <w:r w:rsidRPr="003F4406">
        <w:rPr>
          <w:i/>
          <w:iCs/>
        </w:rPr>
        <w:t>Інститут механіки та автоматики агропромислового виробництва НААН України</w:t>
      </w:r>
    </w:p>
    <w:p w14:paraId="58D40BB8" w14:textId="77777777" w:rsidR="003F4406" w:rsidRPr="003F4406" w:rsidRDefault="003F4406" w:rsidP="005E5AB3">
      <w:pPr>
        <w:widowControl w:val="0"/>
        <w:spacing w:line="276" w:lineRule="auto"/>
        <w:jc w:val="center"/>
        <w:rPr>
          <w:lang w:val="en-GB"/>
        </w:rPr>
      </w:pPr>
    </w:p>
    <w:p w14:paraId="64373983" w14:textId="77777777" w:rsidR="003F4406" w:rsidRPr="003F4406" w:rsidRDefault="003F4406" w:rsidP="003F4406">
      <w:pPr>
        <w:spacing w:line="276" w:lineRule="auto"/>
        <w:ind w:firstLine="851"/>
        <w:jc w:val="both"/>
      </w:pPr>
      <w:r w:rsidRPr="003F4406">
        <w:t xml:space="preserve">Соломисті матеріали та зерновідходи мають значну неоднорідність щодо технологічних та фізико-механічних властивостей, а саме таких: ступінь подрібнення, вміст вологи, наявність домішок, пружно-в’язкі властивості тощо </w:t>
      </w:r>
      <w:r w:rsidRPr="003F4406">
        <w:rPr>
          <w:iCs/>
        </w:rPr>
        <w:t>[1-3]. Для</w:t>
      </w:r>
      <w:r w:rsidRPr="003F4406">
        <w:t xml:space="preserve"> уточнення аналітичних та емпіричних закономірностей брикетування соломистих матеріалів та зерновідходів </w:t>
      </w:r>
      <w:r w:rsidRPr="003F4406">
        <w:rPr>
          <w:iCs/>
        </w:rPr>
        <w:t xml:space="preserve">[3, 4]. </w:t>
      </w:r>
      <w:r w:rsidRPr="003F4406">
        <w:t>проведені дослідження в лабораторних умовах на брикетному пресі ударно-механічної дії.</w:t>
      </w:r>
    </w:p>
    <w:p w14:paraId="35A6353A" w14:textId="77777777" w:rsidR="003F4406" w:rsidRPr="003F4406" w:rsidRDefault="003F4406" w:rsidP="003F4406">
      <w:pPr>
        <w:spacing w:line="276" w:lineRule="auto"/>
        <w:ind w:firstLine="851"/>
        <w:jc w:val="both"/>
      </w:pPr>
      <w:r w:rsidRPr="003F4406">
        <w:rPr>
          <w:iCs/>
        </w:rPr>
        <w:t xml:space="preserve">Досліди </w:t>
      </w:r>
      <w:r w:rsidRPr="003F4406">
        <w:t>брикетування</w:t>
      </w:r>
      <w:r w:rsidRPr="003F4406">
        <w:rPr>
          <w:iCs/>
        </w:rPr>
        <w:t xml:space="preserve"> ударно-механічною дією проведені на трьох видах вторинної біомаси: </w:t>
      </w:r>
      <w:r w:rsidRPr="003F4406">
        <w:t xml:space="preserve">пшенична солома, полова, суміші соломи зі здрібненими зерновими відходами. Експериментальні дослідження здійснені на вітчизняному брикетному пресі </w:t>
      </w:r>
      <w:bookmarkStart w:id="0" w:name="_Hlk193130974"/>
      <w:r w:rsidRPr="003F4406">
        <w:t xml:space="preserve">ПБУ-060-800 </w:t>
      </w:r>
      <w:bookmarkEnd w:id="0"/>
      <w:r w:rsidRPr="003F4406">
        <w:t xml:space="preserve">з матрицею діаметром </w:t>
      </w:r>
      <w:r w:rsidRPr="003F4406">
        <w:rPr>
          <w:lang w:val="en-US"/>
        </w:rPr>
        <w:t>6</w:t>
      </w:r>
      <w:r w:rsidRPr="003F4406">
        <w:t xml:space="preserve">0 мм. Вміст вологи у соломі становив від 12 % до 20 %, у полові – від 12,8 % до 16 %, у суміші – від 14 % до 16 %. Фракційний склад стеблової частини соломи становив від 20 мм до 80 мм. Досліди проводились з трикратною повторністю. </w:t>
      </w:r>
    </w:p>
    <w:p w14:paraId="4454B55B" w14:textId="77777777" w:rsidR="003F4406" w:rsidRPr="003F4406" w:rsidRDefault="003F4406" w:rsidP="003F4406">
      <w:pPr>
        <w:spacing w:line="276" w:lineRule="auto"/>
        <w:ind w:firstLine="851"/>
        <w:jc w:val="both"/>
      </w:pPr>
      <w:r w:rsidRPr="003F4406">
        <w:t>Зусилля пресування визначали електронним сило-вимірювачем ІП-1500 з похибкою ±1%. Вологість матеріалів визначали за допомогою вологоміра ULTRA-X (Німеччина) з точністю вимірювання ± 1,5%. Зважування брикетів проводили на вагах РН-10Ц13 (№ 151234) з точністю 0,5 г.</w:t>
      </w:r>
    </w:p>
    <w:p w14:paraId="00BE423F" w14:textId="77777777" w:rsidR="003F4406" w:rsidRPr="003F4406" w:rsidRDefault="003F4406" w:rsidP="003F4406">
      <w:pPr>
        <w:spacing w:line="276" w:lineRule="auto"/>
        <w:ind w:firstLine="851"/>
        <w:jc w:val="both"/>
      </w:pPr>
      <w:r w:rsidRPr="003F4406">
        <w:t>Загальні закономірності [5] щодо підвищення щільності зі збільшенням зусилля брикетування підтверджуються більш характерно на брикетуванні суміші з зерновідходами. Це пояснюється тим, що даний технологічний матеріал створює найменшу пружну післядію порівняно з соломою чи половою. Найбільш щільні брикети понад 900 кг/м</w:t>
      </w:r>
      <w:r w:rsidRPr="003F4406">
        <w:rPr>
          <w:vertAlign w:val="superscript"/>
        </w:rPr>
        <w:t>3</w:t>
      </w:r>
      <w:r w:rsidRPr="003F4406">
        <w:t xml:space="preserve"> отримані з суміші соломи і зерновідходів при тиску пресування 65 МПа. Меншу щільність біля 830 кг/м</w:t>
      </w:r>
      <w:r w:rsidRPr="003F4406">
        <w:rPr>
          <w:vertAlign w:val="superscript"/>
        </w:rPr>
        <w:t>3</w:t>
      </w:r>
      <w:r w:rsidRPr="003F4406">
        <w:t xml:space="preserve"> мають брикети з полови, отримані при більш високому тиску пресування – 90 МПа. Брикети найменшої щільності до 800 кг/м</w:t>
      </w:r>
      <w:r w:rsidRPr="003F4406">
        <w:rPr>
          <w:vertAlign w:val="superscript"/>
        </w:rPr>
        <w:t>3</w:t>
      </w:r>
      <w:r w:rsidRPr="003F4406">
        <w:t xml:space="preserve"> одержані зі стеблової соломистої частини, яку, як встановлено дослідами, доцільно брикетувати ударним способом при тисках понад 100 МПа. </w:t>
      </w:r>
    </w:p>
    <w:p w14:paraId="1E002ABA" w14:textId="77777777" w:rsidR="003F4406" w:rsidRPr="003F4406" w:rsidRDefault="003F4406" w:rsidP="003F4406">
      <w:pPr>
        <w:spacing w:line="276" w:lineRule="auto"/>
        <w:ind w:firstLine="851"/>
        <w:jc w:val="both"/>
        <w:rPr>
          <w:iCs/>
        </w:rPr>
      </w:pPr>
      <w:r w:rsidRPr="003F4406">
        <w:rPr>
          <w:iCs/>
        </w:rPr>
        <w:t xml:space="preserve">З підвищенням вологості соломистого матеріалу щільність брикетів зростає, а при вологості W=17 % щільність має найбільші значення. Подальше зволоження призводить до зменшення щільності, проте, в брикетах, що включають зерновідходи, це явище відбувається несуттєво і пояснюється </w:t>
      </w:r>
      <w:r w:rsidRPr="003F4406">
        <w:rPr>
          <w:iCs/>
        </w:rPr>
        <w:lastRenderedPageBreak/>
        <w:t xml:space="preserve">підвищенням </w:t>
      </w:r>
      <w:proofErr w:type="spellStart"/>
      <w:r w:rsidRPr="003F4406">
        <w:rPr>
          <w:iCs/>
        </w:rPr>
        <w:t>адгезійної</w:t>
      </w:r>
      <w:proofErr w:type="spellEnd"/>
      <w:r w:rsidRPr="003F4406">
        <w:rPr>
          <w:iCs/>
        </w:rPr>
        <w:t xml:space="preserve"> здатності в борошнистій частині суміші. Виробничий досвід [2, 5] свідчить, що брикети з вологістю понад 17 % незадовільно зберігаються, зокрема уражаються мікроорганізмами, частково руйнуються і тому втрачають свою кормову та паливну цінність.</w:t>
      </w:r>
    </w:p>
    <w:p w14:paraId="0773F220" w14:textId="77777777" w:rsidR="003F4406" w:rsidRPr="003F4406" w:rsidRDefault="003F4406" w:rsidP="003F4406">
      <w:pPr>
        <w:spacing w:line="276" w:lineRule="auto"/>
        <w:ind w:firstLine="851"/>
        <w:jc w:val="both"/>
        <w:rPr>
          <w:iCs/>
        </w:rPr>
      </w:pPr>
      <w:r w:rsidRPr="003F4406">
        <w:rPr>
          <w:iCs/>
        </w:rPr>
        <w:t>Одним з важливих показників процесу брикетування є фактор тривалості перебування матеріалу в матриці в ущільненому стані (рис. 1) для послаблення внутрішнього напруження (релаксації). Цей показник залежить від кількості сировини, що подається у пресову камеру, а також від тиску (</w:t>
      </w:r>
      <w:r w:rsidRPr="003F4406">
        <w:rPr>
          <w:i/>
        </w:rPr>
        <w:t>P</w:t>
      </w:r>
      <w:r w:rsidRPr="003F4406">
        <w:rPr>
          <w:iCs/>
        </w:rPr>
        <w:t>) пресування (рис. 2). Щільність брикетів визначається значною мірою даними параметрами, що треба враховувати при розробці конструкції преса.</w:t>
      </w:r>
    </w:p>
    <w:p w14:paraId="061C585C" w14:textId="77777777" w:rsidR="003F4406" w:rsidRPr="003F4406" w:rsidRDefault="003F4406" w:rsidP="003F4406">
      <w:pPr>
        <w:spacing w:line="276" w:lineRule="auto"/>
        <w:ind w:firstLine="851"/>
        <w:jc w:val="both"/>
        <w:rPr>
          <w:iCs/>
        </w:rPr>
      </w:pPr>
      <w:r w:rsidRPr="003F4406">
        <w:rPr>
          <w:iCs/>
        </w:rPr>
        <w:t>Зі зростанням продуктивності преса за рахунок збільшення подачі матеріалу в камеру пресування, щільність брикетів знижується із-за коротшого терміну перебування в матриці.</w:t>
      </w:r>
    </w:p>
    <w:p w14:paraId="08766906" w14:textId="77777777" w:rsidR="003F4406" w:rsidRPr="003F4406" w:rsidRDefault="003F4406" w:rsidP="003F4406">
      <w:pPr>
        <w:spacing w:line="276" w:lineRule="auto"/>
        <w:ind w:firstLine="851"/>
        <w:jc w:val="both"/>
        <w:rPr>
          <w:iCs/>
        </w:rPr>
      </w:pPr>
    </w:p>
    <w:tbl>
      <w:tblPr>
        <w:tblStyle w:val="af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964"/>
      </w:tblGrid>
      <w:tr w:rsidR="003F4406" w:rsidRPr="003F4406" w14:paraId="2CD699B9" w14:textId="77777777" w:rsidTr="00A4570C">
        <w:tc>
          <w:tcPr>
            <w:tcW w:w="4530" w:type="dxa"/>
            <w:tcBorders>
              <w:right w:val="single" w:sz="4" w:space="0" w:color="auto"/>
            </w:tcBorders>
            <w:vAlign w:val="bottom"/>
          </w:tcPr>
          <w:p w14:paraId="41A7D1BA" w14:textId="77777777" w:rsidR="003F4406" w:rsidRPr="003F4406" w:rsidRDefault="003F4406" w:rsidP="003F4406">
            <w:pPr>
              <w:spacing w:line="276" w:lineRule="auto"/>
              <w:ind w:firstLine="851"/>
              <w:jc w:val="both"/>
              <w:rPr>
                <w:iCs/>
                <w:lang w:val="ru-RU"/>
              </w:rPr>
            </w:pPr>
            <w:r w:rsidRPr="003F4406">
              <w:rPr>
                <w:iCs/>
                <w:lang w:val="ru-RU"/>
              </w:rPr>
              <w:drawing>
                <wp:inline distT="0" distB="0" distL="0" distR="0" wp14:anchorId="324448BF" wp14:editId="00A7A846">
                  <wp:extent cx="2680335" cy="2739390"/>
                  <wp:effectExtent l="0" t="0" r="5715" b="3810"/>
                  <wp:docPr id="3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0335" cy="2739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5E2593CA" w14:textId="77777777" w:rsidR="003F4406" w:rsidRPr="003F4406" w:rsidRDefault="003F4406" w:rsidP="003F4406">
            <w:pPr>
              <w:spacing w:line="276" w:lineRule="auto"/>
              <w:ind w:firstLine="851"/>
              <w:jc w:val="both"/>
              <w:rPr>
                <w:iCs/>
              </w:rPr>
            </w:pPr>
            <w:r w:rsidRPr="003F4406">
              <w:rPr>
                <w:iCs/>
              </w:rPr>
              <w:t>1 – солома W=14,6 %; 2 – полова W=12,8 %; 3 – суміш соломи і зерновідходів W=14 %</w:t>
            </w:r>
          </w:p>
          <w:p w14:paraId="62A38BFD" w14:textId="77777777" w:rsidR="003F4406" w:rsidRPr="003F4406" w:rsidRDefault="003F4406" w:rsidP="003F4406">
            <w:pPr>
              <w:spacing w:line="276" w:lineRule="auto"/>
              <w:ind w:firstLine="851"/>
              <w:jc w:val="both"/>
              <w:rPr>
                <w:iCs/>
              </w:rPr>
            </w:pPr>
            <w:r w:rsidRPr="003F4406">
              <w:rPr>
                <w:iCs/>
              </w:rPr>
              <w:t>Рисунок 1 – Графічна залежність тривалості (</w:t>
            </w:r>
            <w:r w:rsidRPr="003F4406">
              <w:rPr>
                <w:i/>
                <w:lang w:val="en-US"/>
              </w:rPr>
              <w:t>t</w:t>
            </w:r>
            <w:r w:rsidRPr="003F4406">
              <w:rPr>
                <w:iCs/>
              </w:rPr>
              <w:t>) перебування матеріалу в стисненому стані від заданої щільності (</w:t>
            </w:r>
            <m:oMath>
              <m:r>
                <m:rPr>
                  <m:nor/>
                </m:rPr>
                <w:rPr>
                  <w:i/>
                  <w:lang w:val="ru-RU"/>
                </w:rPr>
                <m:t>ρ</m:t>
              </m:r>
            </m:oMath>
            <w:r w:rsidRPr="003F4406">
              <w:rPr>
                <w:iCs/>
              </w:rPr>
              <w:t>) брикетів</w:t>
            </w:r>
          </w:p>
        </w:tc>
        <w:tc>
          <w:tcPr>
            <w:tcW w:w="5180" w:type="dxa"/>
            <w:tcBorders>
              <w:left w:val="single" w:sz="4" w:space="0" w:color="auto"/>
            </w:tcBorders>
          </w:tcPr>
          <w:p w14:paraId="373E606C" w14:textId="77777777" w:rsidR="003F4406" w:rsidRPr="003F4406" w:rsidRDefault="003F4406" w:rsidP="003F4406">
            <w:pPr>
              <w:spacing w:line="276" w:lineRule="auto"/>
              <w:ind w:firstLine="851"/>
              <w:jc w:val="both"/>
              <w:rPr>
                <w:lang w:val="ru-RU"/>
              </w:rPr>
            </w:pPr>
            <w:r w:rsidRPr="003F4406">
              <w:rPr>
                <w:lang w:val="ru-RU"/>
              </w:rPr>
              <w:drawing>
                <wp:inline distT="0" distB="0" distL="0" distR="0" wp14:anchorId="3AEF3396" wp14:editId="059AD724">
                  <wp:extent cx="2877820" cy="3056255"/>
                  <wp:effectExtent l="0" t="0" r="17780" b="10795"/>
                  <wp:docPr id="1008958365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8958365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7820" cy="3056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F05DE35" w14:textId="77777777" w:rsidR="003F4406" w:rsidRPr="003F4406" w:rsidRDefault="003F4406" w:rsidP="003F4406">
            <w:pPr>
              <w:spacing w:line="276" w:lineRule="auto"/>
              <w:ind w:firstLine="851"/>
              <w:jc w:val="both"/>
              <w:rPr>
                <w:iCs/>
              </w:rPr>
            </w:pPr>
            <w:r w:rsidRPr="003F4406">
              <w:rPr>
                <w:iCs/>
              </w:rPr>
              <w:t>1(</w:t>
            </w:r>
            <w:r w:rsidRPr="003F4406">
              <w:rPr>
                <w:iCs/>
                <w:lang w:val="en-US"/>
              </w:rPr>
              <w:t>y</w:t>
            </w:r>
            <w:r w:rsidRPr="003F4406">
              <w:rPr>
                <w:iCs/>
                <w:vertAlign w:val="subscript"/>
                <w:lang w:val="en-US"/>
              </w:rPr>
              <w:t>1</w:t>
            </w:r>
            <w:r w:rsidRPr="003F4406">
              <w:rPr>
                <w:iCs/>
              </w:rPr>
              <w:t>) – солома (30-80 мм); 2(</w:t>
            </w:r>
            <w:r w:rsidRPr="003F4406">
              <w:rPr>
                <w:iCs/>
                <w:lang w:val="en-US"/>
              </w:rPr>
              <w:t>y</w:t>
            </w:r>
            <w:r w:rsidRPr="003F4406">
              <w:rPr>
                <w:iCs/>
                <w:vertAlign w:val="subscript"/>
                <w:lang w:val="en-US"/>
              </w:rPr>
              <w:t>2</w:t>
            </w:r>
            <w:r w:rsidRPr="003F4406">
              <w:rPr>
                <w:iCs/>
              </w:rPr>
              <w:t>) – солома (20-30 мм); 3(</w:t>
            </w:r>
            <w:r w:rsidRPr="003F4406">
              <w:rPr>
                <w:iCs/>
                <w:lang w:val="en-US"/>
              </w:rPr>
              <w:t>y</w:t>
            </w:r>
            <w:r w:rsidRPr="003F4406">
              <w:rPr>
                <w:iCs/>
                <w:vertAlign w:val="subscript"/>
                <w:lang w:val="en-US"/>
              </w:rPr>
              <w:t>3</w:t>
            </w:r>
            <w:r w:rsidRPr="003F4406">
              <w:rPr>
                <w:iCs/>
              </w:rPr>
              <w:t>) – полова; 4 – суміш полови і 30 % зерновідходів</w:t>
            </w:r>
          </w:p>
          <w:p w14:paraId="4F2A8253" w14:textId="77777777" w:rsidR="003F4406" w:rsidRPr="003F4406" w:rsidRDefault="003F4406" w:rsidP="003F4406">
            <w:pPr>
              <w:spacing w:line="276" w:lineRule="auto"/>
              <w:ind w:firstLine="851"/>
              <w:jc w:val="both"/>
            </w:pPr>
            <w:r w:rsidRPr="003F4406">
              <w:rPr>
                <w:iCs/>
              </w:rPr>
              <w:t>Рисунок 2 – Графічна залежність коефіцієнта зовнішнього тертя (</w:t>
            </w:r>
            <w:r w:rsidRPr="003F4406">
              <w:rPr>
                <w:i/>
                <w:lang w:val="en-US"/>
              </w:rPr>
              <w:t>f</w:t>
            </w:r>
            <w:r w:rsidRPr="003F4406">
              <w:rPr>
                <w:iCs/>
              </w:rPr>
              <w:t>) від тиску (</w:t>
            </w:r>
            <w:r w:rsidRPr="003F4406">
              <w:rPr>
                <w:i/>
                <w:lang w:val="en-US"/>
              </w:rPr>
              <w:t>P</w:t>
            </w:r>
            <w:r w:rsidRPr="003F4406">
              <w:rPr>
                <w:iCs/>
              </w:rPr>
              <w:t>)</w:t>
            </w:r>
          </w:p>
        </w:tc>
      </w:tr>
    </w:tbl>
    <w:p w14:paraId="3FD41371" w14:textId="77777777" w:rsidR="003F4406" w:rsidRPr="003F4406" w:rsidRDefault="003F4406" w:rsidP="003F4406">
      <w:pPr>
        <w:spacing w:line="276" w:lineRule="auto"/>
        <w:ind w:firstLine="851"/>
        <w:jc w:val="both"/>
      </w:pPr>
    </w:p>
    <w:p w14:paraId="45FAA999" w14:textId="77777777" w:rsidR="003F4406" w:rsidRPr="003F4406" w:rsidRDefault="003F4406" w:rsidP="003F4406">
      <w:pPr>
        <w:spacing w:line="276" w:lineRule="auto"/>
        <w:ind w:firstLine="851"/>
        <w:jc w:val="both"/>
      </w:pPr>
      <w:r w:rsidRPr="003F4406">
        <w:t xml:space="preserve">Була розроблена матриця планування згідно з планом </w:t>
      </w:r>
      <w:proofErr w:type="spellStart"/>
      <w:r w:rsidRPr="003F4406">
        <w:t>Бокса-Бенкіна</w:t>
      </w:r>
      <w:proofErr w:type="spellEnd"/>
      <w:r w:rsidRPr="003F4406">
        <w:t xml:space="preserve"> одно-факторних експериментів </w:t>
      </w:r>
      <w:bookmarkStart w:id="1" w:name="_Hlk194251983"/>
      <m:oMath>
        <m:r>
          <m:rPr>
            <m:nor/>
          </m:rPr>
          <w:rPr>
            <w:i/>
            <w:lang w:val="ru-RU"/>
          </w:rPr>
          <m:t>ρ</m:t>
        </m:r>
        <m:r>
          <m:rPr>
            <m:nor/>
          </m:rPr>
          <w:rPr>
            <w:lang w:val="ru-RU"/>
          </w:rPr>
          <m:t>=</m:t>
        </m:r>
        <m:r>
          <m:rPr>
            <m:nor/>
          </m:rPr>
          <w:rPr>
            <w:i/>
            <w:lang w:val="ru-RU"/>
          </w:rPr>
          <m:t>f</m:t>
        </m:r>
        <m:d>
          <m:dPr>
            <m:ctrlPr>
              <w:rPr>
                <w:rFonts w:ascii="Cambria Math" w:hAnsi="Cambria Math"/>
                <w:i/>
                <w:lang w:val="ru-RU"/>
              </w:rPr>
            </m:ctrlPr>
          </m:dPr>
          <m:e>
            <m:r>
              <m:rPr>
                <m:nor/>
              </m:rPr>
              <w:rPr>
                <w:i/>
                <w:lang w:val="ru-RU"/>
              </w:rPr>
              <m:t>P</m:t>
            </m:r>
          </m:e>
        </m:d>
      </m:oMath>
      <w:bookmarkEnd w:id="1"/>
      <w:r w:rsidRPr="003F4406">
        <w:rPr>
          <w:lang w:val="en-US"/>
        </w:rPr>
        <w:t xml:space="preserve">; </w:t>
      </w:r>
      <m:oMath>
        <m:r>
          <m:rPr>
            <m:nor/>
          </m:rPr>
          <w:rPr>
            <w:i/>
            <w:lang w:val="ru-RU"/>
          </w:rPr>
          <m:t>ρ</m:t>
        </m:r>
        <m:r>
          <m:rPr>
            <m:nor/>
          </m:rPr>
          <w:rPr>
            <w:lang w:val="ru-RU"/>
          </w:rPr>
          <m:t>=</m:t>
        </m:r>
        <m:r>
          <m:rPr>
            <m:nor/>
          </m:rPr>
          <w:rPr>
            <w:i/>
            <w:lang w:val="ru-RU"/>
          </w:rPr>
          <m:t>f</m:t>
        </m:r>
        <m:d>
          <m:dPr>
            <m:ctrlPr>
              <w:rPr>
                <w:rFonts w:ascii="Cambria Math" w:hAnsi="Cambria Math"/>
                <w:i/>
                <w:lang w:val="ru-RU"/>
              </w:rPr>
            </m:ctrlPr>
          </m:dPr>
          <m:e>
            <m:r>
              <m:rPr>
                <m:nor/>
              </m:rPr>
              <w:rPr>
                <w:i/>
                <w:lang w:val="ru-RU"/>
              </w:rPr>
              <m:t>W</m:t>
            </m:r>
          </m:e>
        </m:d>
      </m:oMath>
      <w:r w:rsidRPr="003F4406">
        <w:rPr>
          <w:lang w:val="en-US"/>
        </w:rPr>
        <w:t xml:space="preserve">; </w:t>
      </w:r>
      <m:oMath>
        <m:r>
          <m:rPr>
            <m:nor/>
          </m:rPr>
          <w:rPr>
            <w:i/>
            <w:lang w:val="en-US"/>
          </w:rPr>
          <m:t>t</m:t>
        </m:r>
        <m:r>
          <m:rPr>
            <m:nor/>
          </m:rPr>
          <w:rPr>
            <w:lang w:val="ru-RU"/>
          </w:rPr>
          <m:t>=</m:t>
        </m:r>
        <m:r>
          <m:rPr>
            <m:nor/>
          </m:rPr>
          <w:rPr>
            <w:i/>
            <w:lang w:val="ru-RU"/>
          </w:rPr>
          <m:t>f</m:t>
        </m:r>
        <m:d>
          <m:dPr>
            <m:ctrlPr>
              <w:rPr>
                <w:rFonts w:ascii="Cambria Math" w:hAnsi="Cambria Math"/>
                <w:i/>
                <w:lang w:val="ru-RU"/>
              </w:rPr>
            </m:ctrlPr>
          </m:dPr>
          <m:e>
            <m:r>
              <m:rPr>
                <m:nor/>
              </m:rPr>
              <w:rPr>
                <w:i/>
                <w:lang w:val="ru-RU"/>
              </w:rPr>
              <m:t>ρ</m:t>
            </m:r>
          </m:e>
        </m:d>
      </m:oMath>
      <w:r w:rsidRPr="003F4406">
        <w:rPr>
          <w:lang w:val="en-US"/>
        </w:rPr>
        <w:t xml:space="preserve">; </w:t>
      </w:r>
      <m:oMath>
        <m:r>
          <m:rPr>
            <m:nor/>
          </m:rPr>
          <w:rPr>
            <w:i/>
            <w:lang w:val="ru-RU"/>
          </w:rPr>
          <m:t>f</m:t>
        </m:r>
        <m:r>
          <m:rPr>
            <m:nor/>
          </m:rPr>
          <w:rPr>
            <w:lang w:val="ru-RU"/>
          </w:rPr>
          <m:t>=</m:t>
        </m:r>
        <m:r>
          <m:rPr>
            <m:nor/>
          </m:rPr>
          <w:rPr>
            <w:i/>
            <w:lang w:val="ru-RU"/>
          </w:rPr>
          <m:t>f</m:t>
        </m:r>
        <m:d>
          <m:dPr>
            <m:ctrlPr>
              <w:rPr>
                <w:rFonts w:ascii="Cambria Math" w:hAnsi="Cambria Math"/>
                <w:i/>
                <w:lang w:val="ru-RU"/>
              </w:rPr>
            </m:ctrlPr>
          </m:dPr>
          <m:e>
            <m:r>
              <m:rPr>
                <m:nor/>
              </m:rPr>
              <w:rPr>
                <w:i/>
                <w:lang w:val="ru-RU"/>
              </w:rPr>
              <m:t>P</m:t>
            </m:r>
          </m:e>
        </m:d>
      </m:oMath>
      <w:r w:rsidRPr="003F4406">
        <w:t>. Статистичний аналіз</w:t>
      </w:r>
      <w:r w:rsidRPr="003F4406">
        <w:rPr>
          <w:lang w:val="en-US"/>
        </w:rPr>
        <w:t xml:space="preserve"> </w:t>
      </w:r>
      <w:r w:rsidRPr="003F4406">
        <w:t>і математична обробка коефіцієнтів регресії виконано за допомогою комп’ютерної програми STATISTICA [6].</w:t>
      </w:r>
    </w:p>
    <w:p w14:paraId="3C491A5D" w14:textId="77777777" w:rsidR="003F4406" w:rsidRPr="003F4406" w:rsidRDefault="003F4406" w:rsidP="003F4406">
      <w:pPr>
        <w:spacing w:line="276" w:lineRule="auto"/>
        <w:ind w:firstLine="851"/>
        <w:jc w:val="both"/>
      </w:pPr>
      <w:r w:rsidRPr="003F4406">
        <w:t xml:space="preserve">За даними дослідів з використанням табличного процесора </w:t>
      </w:r>
      <w:r w:rsidRPr="003F4406">
        <w:rPr>
          <w:lang w:val="en-US"/>
        </w:rPr>
        <w:t>MS Excel</w:t>
      </w:r>
      <w:r w:rsidRPr="003F4406">
        <w:t xml:space="preserve"> методом регресійного</w:t>
      </w:r>
      <w:r w:rsidRPr="003F4406">
        <w:rPr>
          <w:b/>
          <w:bCs/>
        </w:rPr>
        <w:t xml:space="preserve"> </w:t>
      </w:r>
      <w:r w:rsidRPr="003F4406">
        <w:t xml:space="preserve">аналізу та розрахунків з використанням програми [6] </w:t>
      </w:r>
      <w:r w:rsidRPr="003F4406">
        <w:lastRenderedPageBreak/>
        <w:t xml:space="preserve">отримані рівняння регресії другого порядку (рис. 2). Перевірку адекватності моделей досліджуваного процесу виконано за критерієм Фішера. Статистичну значимість коефіцієнтів регресії визначено за критерієм </w:t>
      </w:r>
      <w:proofErr w:type="spellStart"/>
      <w:r w:rsidRPr="003F4406">
        <w:t>Ст’юдента</w:t>
      </w:r>
      <w:proofErr w:type="spellEnd"/>
      <w:r w:rsidRPr="003F4406">
        <w:t xml:space="preserve"> </w:t>
      </w:r>
      <w:bookmarkStart w:id="2" w:name="_Hlk194235310"/>
      <w:r w:rsidRPr="003F4406">
        <w:t>[6].</w:t>
      </w:r>
      <w:r w:rsidRPr="003F4406">
        <w:rPr>
          <w:lang w:val="en-US"/>
        </w:rPr>
        <w:t xml:space="preserve"> </w:t>
      </w:r>
      <w:bookmarkEnd w:id="2"/>
    </w:p>
    <w:p w14:paraId="5B853C13" w14:textId="77777777" w:rsidR="003F4406" w:rsidRPr="003F4406" w:rsidRDefault="003F4406" w:rsidP="003F4406">
      <w:pPr>
        <w:spacing w:line="276" w:lineRule="auto"/>
        <w:ind w:firstLine="851"/>
        <w:jc w:val="both"/>
      </w:pPr>
      <w:r w:rsidRPr="003F4406">
        <w:t xml:space="preserve">Триразова повторність дослідів при припустимій помилці у частках 1,0 передбачала надійність 0,9. Відносна похибка 4,3 % дослідів отримання брикетів полягала у нерівномірності вологості, фракційного складу матеріалу тощо. Було застосовано метод </w:t>
      </w:r>
      <w:proofErr w:type="spellStart"/>
      <w:r w:rsidRPr="003F4406">
        <w:t>рандомізації</w:t>
      </w:r>
      <w:proofErr w:type="spellEnd"/>
      <w:r w:rsidRPr="003F4406">
        <w:t xml:space="preserve"> [6], що дозволило рівномірно розподілити вплив зовнішніх випадкових факторів протягом усіх дослідів. </w:t>
      </w:r>
    </w:p>
    <w:p w14:paraId="215E7A06" w14:textId="5132D510" w:rsidR="003F4406" w:rsidRPr="003F4406" w:rsidRDefault="003F4406" w:rsidP="003F4406">
      <w:pPr>
        <w:spacing w:line="276" w:lineRule="auto"/>
        <w:ind w:firstLine="851"/>
        <w:jc w:val="both"/>
        <w:rPr>
          <w:iCs/>
        </w:rPr>
      </w:pPr>
      <w:r w:rsidRPr="003F4406">
        <w:rPr>
          <w:iCs/>
        </w:rPr>
        <w:t xml:space="preserve">При визначенні коефіцієнтів зовнішнього тертя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f</m:t>
            </m:r>
          </m:e>
          <m:sub>
            <m:r>
              <w:rPr>
                <w:rFonts w:ascii="Cambria Math" w:hAnsi="Cambria Math"/>
              </w:rPr>
              <m:t>т</m:t>
            </m:r>
          </m:sub>
        </m:sSub>
      </m:oMath>
      <w:r w:rsidRPr="003F4406">
        <w:rPr>
          <w:iCs/>
        </w:rPr>
        <w:t xml:space="preserve"> (рис. 2) встановлено, що найменші значення мають показники сукупностей (1) і (2). Величина цього коефіцієнта більша у полови (3) та у суміші полови і зерновідходів (4). В межах тисків </w:t>
      </w:r>
      <w:r w:rsidRPr="003F4406">
        <w:rPr>
          <w:i/>
        </w:rPr>
        <w:t>Р</w:t>
      </w:r>
      <w:r w:rsidRPr="003F4406">
        <w:rPr>
          <w:iCs/>
        </w:rPr>
        <w:t xml:space="preserve"> до 60 МПа на матеріали спостерігається зменшення коефіцієнта зовнішнього тертя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f</m:t>
            </m:r>
          </m:e>
          <m:sub>
            <m:r>
              <w:rPr>
                <w:rFonts w:ascii="Cambria Math" w:hAnsi="Cambria Math"/>
              </w:rPr>
              <m:t>т</m:t>
            </m:r>
          </m:sub>
        </m:sSub>
      </m:oMath>
      <w:r w:rsidRPr="003F4406">
        <w:rPr>
          <w:iCs/>
        </w:rPr>
        <w:t xml:space="preserve"> майже за прямолінійною залежністю.</w:t>
      </w:r>
    </w:p>
    <w:p w14:paraId="407BF8D8" w14:textId="77777777" w:rsidR="003F4406" w:rsidRPr="003F4406" w:rsidRDefault="003F4406" w:rsidP="003F4406">
      <w:pPr>
        <w:spacing w:line="276" w:lineRule="auto"/>
        <w:ind w:firstLine="851"/>
        <w:jc w:val="both"/>
        <w:rPr>
          <w:iCs/>
        </w:rPr>
      </w:pPr>
      <w:r w:rsidRPr="003F4406">
        <w:rPr>
          <w:iCs/>
        </w:rPr>
        <w:t xml:space="preserve">В результаті брикетування соломи, полови та сумішей з зерновими відходами на брикетній установці </w:t>
      </w:r>
      <w:r w:rsidRPr="003F4406">
        <w:t xml:space="preserve">ПБУ-060-800 </w:t>
      </w:r>
      <w:r w:rsidRPr="003F4406">
        <w:rPr>
          <w:iCs/>
        </w:rPr>
        <w:t>формувались брикети з щільністю 0,8</w:t>
      </w:r>
      <w:r w:rsidRPr="003F4406">
        <w:rPr>
          <w:iCs/>
        </w:rPr>
        <w:noBreakHyphen/>
        <w:t>1,1 т/м</w:t>
      </w:r>
      <w:r w:rsidRPr="003F4406">
        <w:rPr>
          <w:iCs/>
          <w:vertAlign w:val="superscript"/>
        </w:rPr>
        <w:t>3</w:t>
      </w:r>
      <w:r w:rsidRPr="003F4406">
        <w:rPr>
          <w:iCs/>
        </w:rPr>
        <w:t xml:space="preserve"> при частоті 200 ударних рухів пуансона за хвилину. Продуктивність брикетного преса для соломи становила 0,3-0,35 т/год.; полови </w:t>
      </w:r>
      <w:r w:rsidRPr="003F4406">
        <w:rPr>
          <w:iCs/>
        </w:rPr>
        <w:noBreakHyphen/>
        <w:t xml:space="preserve"> 0,32 т/год.; суміші полови і 30 % зерновідходів </w:t>
      </w:r>
      <w:r w:rsidRPr="003F4406">
        <w:rPr>
          <w:iCs/>
        </w:rPr>
        <w:noBreakHyphen/>
        <w:t xml:space="preserve"> 0,4 т/год. </w:t>
      </w:r>
    </w:p>
    <w:p w14:paraId="6F0646F0" w14:textId="77777777" w:rsidR="003F4406" w:rsidRPr="003F4406" w:rsidRDefault="003F4406" w:rsidP="003F4406">
      <w:pPr>
        <w:spacing w:line="276" w:lineRule="auto"/>
        <w:ind w:firstLine="851"/>
        <w:jc w:val="both"/>
        <w:rPr>
          <w:iCs/>
        </w:rPr>
      </w:pPr>
      <w:r w:rsidRPr="003F4406">
        <w:rPr>
          <w:b/>
          <w:bCs/>
          <w:iCs/>
        </w:rPr>
        <w:t>Висновки.</w:t>
      </w:r>
      <w:r w:rsidRPr="003F4406">
        <w:rPr>
          <w:iCs/>
        </w:rPr>
        <w:t xml:space="preserve"> 1. За результатами лабораторних досліджень доведена ефективність преса ударно-механічної дії на брикетуванні соломистих матеріалів та зерновідходів, яким притаманні складні пружно-в’язкі властивості. При тиску пресування 60 МПа найбільшу щільність понад 900 кг/м</w:t>
      </w:r>
      <w:r w:rsidRPr="003F4406">
        <w:rPr>
          <w:iCs/>
          <w:vertAlign w:val="superscript"/>
        </w:rPr>
        <w:t>3</w:t>
      </w:r>
      <w:r w:rsidRPr="003F4406">
        <w:rPr>
          <w:iCs/>
        </w:rPr>
        <w:t xml:space="preserve"> мали брикети з сумішей завдяки незначній пружній післядії порівняно з соломою. Брикети із соломи з фракційним складом понад 80 мм доцільно брикетувати під тиском біля 100 МПа. </w:t>
      </w:r>
    </w:p>
    <w:p w14:paraId="5EDC6889" w14:textId="77777777" w:rsidR="003F4406" w:rsidRPr="003F4406" w:rsidRDefault="003F4406" w:rsidP="003F4406">
      <w:pPr>
        <w:spacing w:line="276" w:lineRule="auto"/>
        <w:ind w:firstLine="851"/>
        <w:jc w:val="both"/>
        <w:rPr>
          <w:iCs/>
        </w:rPr>
      </w:pPr>
      <w:r w:rsidRPr="003F4406">
        <w:rPr>
          <w:iCs/>
        </w:rPr>
        <w:t>2. Для ефективного брикетування соломистих матеріалів з високими показниками релаксації доцільно забезпечувати найбільш можливе ущільнення матеріалу живильним пристроєм та найменшу довжину нарощування брикету за один прохід пуансона. Тоді щільність брикетів більш рівномірна, а міцність виробів зростає у 1,2-1,5 рази при зменшені продуктивності на 8-10 %.</w:t>
      </w:r>
    </w:p>
    <w:p w14:paraId="48A339A5" w14:textId="77777777" w:rsidR="003F4406" w:rsidRPr="003F4406" w:rsidRDefault="003F4406" w:rsidP="003F4406">
      <w:pPr>
        <w:spacing w:line="276" w:lineRule="auto"/>
        <w:jc w:val="center"/>
        <w:rPr>
          <w:b/>
          <w:iCs/>
          <w:lang w:val="en-US"/>
        </w:rPr>
      </w:pPr>
      <w:r w:rsidRPr="003F4406">
        <w:rPr>
          <w:b/>
          <w:iCs/>
        </w:rPr>
        <w:t>БІБЛІОГРАФІЯ</w:t>
      </w:r>
    </w:p>
    <w:p w14:paraId="38E73BAB" w14:textId="77777777" w:rsidR="003F4406" w:rsidRPr="003F4406" w:rsidRDefault="003F4406" w:rsidP="003F4406">
      <w:pPr>
        <w:spacing w:line="276" w:lineRule="auto"/>
        <w:ind w:firstLine="851"/>
        <w:jc w:val="both"/>
      </w:pPr>
      <w:bookmarkStart w:id="3" w:name="_Hlk192000630"/>
      <w:r w:rsidRPr="003F4406">
        <w:t xml:space="preserve">1. Єременко О.І., Поліщук В.М., </w:t>
      </w:r>
      <w:proofErr w:type="spellStart"/>
      <w:r w:rsidRPr="003F4406">
        <w:t>Шворов</w:t>
      </w:r>
      <w:proofErr w:type="spellEnd"/>
      <w:r w:rsidRPr="003F4406">
        <w:t xml:space="preserve"> С.А., </w:t>
      </w:r>
      <w:proofErr w:type="spellStart"/>
      <w:r w:rsidRPr="003F4406">
        <w:t>Скібчик</w:t>
      </w:r>
      <w:proofErr w:type="spellEnd"/>
      <w:r w:rsidRPr="003F4406">
        <w:t xml:space="preserve"> В.І. Розрахунок обладнання для отримання </w:t>
      </w:r>
      <w:proofErr w:type="spellStart"/>
      <w:r w:rsidRPr="003F4406">
        <w:t>біопаливних</w:t>
      </w:r>
      <w:proofErr w:type="spellEnd"/>
      <w:r w:rsidRPr="003F4406">
        <w:t xml:space="preserve"> гранул і брикетів: монографія. Київ: НУБіП України, 2021. 244 с. </w:t>
      </w:r>
    </w:p>
    <w:p w14:paraId="19E8E8F6" w14:textId="20C2BFA4" w:rsidR="003F4406" w:rsidRPr="003F4406" w:rsidRDefault="003F4406" w:rsidP="003F4406">
      <w:pPr>
        <w:spacing w:line="276" w:lineRule="auto"/>
        <w:ind w:firstLine="851"/>
        <w:jc w:val="both"/>
        <w:rPr>
          <w:lang w:val="en-US"/>
        </w:rPr>
      </w:pPr>
      <w:r w:rsidRPr="003F4406">
        <w:rPr>
          <w:iCs/>
        </w:rPr>
        <w:t>2</w:t>
      </w:r>
      <w:r w:rsidRPr="003F4406">
        <w:rPr>
          <w:iCs/>
          <w:lang w:val="en-US"/>
        </w:rPr>
        <w:t>. </w:t>
      </w:r>
      <w:proofErr w:type="spellStart"/>
      <w:r w:rsidRPr="003F4406">
        <w:rPr>
          <w:iCs/>
          <w:lang w:val="en-US"/>
        </w:rPr>
        <w:t>Piskunova</w:t>
      </w:r>
      <w:proofErr w:type="spellEnd"/>
      <w:r w:rsidRPr="003F4406">
        <w:rPr>
          <w:iCs/>
          <w:lang w:val="en-US"/>
        </w:rPr>
        <w:t xml:space="preserve">, L.E., Yeremenko, O.I., </w:t>
      </w:r>
      <w:proofErr w:type="spellStart"/>
      <w:r w:rsidRPr="003F4406">
        <w:rPr>
          <w:iCs/>
          <w:lang w:val="en-US"/>
        </w:rPr>
        <w:t>Zubok</w:t>
      </w:r>
      <w:proofErr w:type="spellEnd"/>
      <w:r w:rsidRPr="003F4406">
        <w:rPr>
          <w:iCs/>
          <w:lang w:val="en-US"/>
        </w:rPr>
        <w:t xml:space="preserve">, T.O., </w:t>
      </w:r>
      <w:proofErr w:type="spellStart"/>
      <w:r w:rsidRPr="003F4406">
        <w:rPr>
          <w:iCs/>
          <w:lang w:val="en-US"/>
        </w:rPr>
        <w:t>Serbeniuk</w:t>
      </w:r>
      <w:proofErr w:type="spellEnd"/>
      <w:r w:rsidRPr="003F4406">
        <w:rPr>
          <w:iCs/>
          <w:lang w:val="en-US"/>
        </w:rPr>
        <w:t xml:space="preserve">, H.A., Korzh, Z.V. Scientific and methodological aspects of solid biofuel production processes in compliance with labor protection and environmental safety measures. </w:t>
      </w:r>
      <w:proofErr w:type="spellStart"/>
      <w:r w:rsidRPr="003F4406">
        <w:rPr>
          <w:iCs/>
          <w:lang w:val="en-US"/>
        </w:rPr>
        <w:t>Polityka</w:t>
      </w:r>
      <w:proofErr w:type="spellEnd"/>
      <w:r w:rsidRPr="003F4406">
        <w:rPr>
          <w:iCs/>
          <w:lang w:val="en-US"/>
        </w:rPr>
        <w:t xml:space="preserve"> </w:t>
      </w:r>
      <w:proofErr w:type="spellStart"/>
      <w:r w:rsidRPr="003F4406">
        <w:rPr>
          <w:iCs/>
          <w:lang w:val="en-US"/>
        </w:rPr>
        <w:t>energetyczna</w:t>
      </w:r>
      <w:proofErr w:type="spellEnd"/>
      <w:r w:rsidRPr="003F4406">
        <w:rPr>
          <w:iCs/>
          <w:lang w:val="en-US"/>
        </w:rPr>
        <w:t xml:space="preserve"> – energy policy Journal, Volume 25. Issue 1. 2022. 143–154. DOI: 10.33223/</w:t>
      </w:r>
      <w:proofErr w:type="spellStart"/>
      <w:r w:rsidRPr="003F4406">
        <w:rPr>
          <w:iCs/>
          <w:lang w:val="en-US"/>
        </w:rPr>
        <w:t>epj</w:t>
      </w:r>
      <w:proofErr w:type="spellEnd"/>
      <w:r w:rsidRPr="003F4406">
        <w:rPr>
          <w:iCs/>
          <w:lang w:val="en-US"/>
        </w:rPr>
        <w:t>/144008. URL. https://epj.min-pan.krakow.pl/</w:t>
      </w:r>
    </w:p>
    <w:p w14:paraId="173DF70B" w14:textId="77777777" w:rsidR="003F4406" w:rsidRPr="003F4406" w:rsidRDefault="003F4406" w:rsidP="003F4406">
      <w:pPr>
        <w:spacing w:line="276" w:lineRule="auto"/>
        <w:ind w:firstLine="851"/>
        <w:jc w:val="both"/>
        <w:rPr>
          <w:iCs/>
        </w:rPr>
      </w:pPr>
      <w:r w:rsidRPr="003F4406">
        <w:rPr>
          <w:iCs/>
        </w:rPr>
        <w:lastRenderedPageBreak/>
        <w:t>3. </w:t>
      </w:r>
      <w:proofErr w:type="spellStart"/>
      <w:r w:rsidRPr="003F4406">
        <w:rPr>
          <w:iCs/>
        </w:rPr>
        <w:t>Семірненко</w:t>
      </w:r>
      <w:proofErr w:type="spellEnd"/>
      <w:r w:rsidRPr="003F4406">
        <w:rPr>
          <w:iCs/>
        </w:rPr>
        <w:t xml:space="preserve"> С.Л. Дослідження залежності щільності брикетів із соломи озимої пшениці від деяких факторів. </w:t>
      </w:r>
      <w:r w:rsidRPr="003F4406">
        <w:rPr>
          <w:i/>
        </w:rPr>
        <w:t>Вісник Харківського національного технічного університету сільського господарства</w:t>
      </w:r>
      <w:r w:rsidRPr="003F4406">
        <w:rPr>
          <w:iCs/>
        </w:rPr>
        <w:t xml:space="preserve">. Харків: 2011. </w:t>
      </w:r>
      <w:proofErr w:type="spellStart"/>
      <w:r w:rsidRPr="003F4406">
        <w:rPr>
          <w:iCs/>
        </w:rPr>
        <w:t>Вип</w:t>
      </w:r>
      <w:proofErr w:type="spellEnd"/>
      <w:r w:rsidRPr="003F4406">
        <w:rPr>
          <w:iCs/>
        </w:rPr>
        <w:t>. 111. С. 112-120.</w:t>
      </w:r>
    </w:p>
    <w:p w14:paraId="3F3B1406" w14:textId="77777777" w:rsidR="003F4406" w:rsidRPr="003F4406" w:rsidRDefault="003F4406" w:rsidP="003F4406">
      <w:pPr>
        <w:spacing w:line="276" w:lineRule="auto"/>
        <w:ind w:firstLine="851"/>
        <w:jc w:val="both"/>
        <w:rPr>
          <w:iCs/>
        </w:rPr>
      </w:pPr>
      <w:r w:rsidRPr="003F4406">
        <w:rPr>
          <w:iCs/>
        </w:rPr>
        <w:t>4. </w:t>
      </w:r>
      <w:proofErr w:type="spellStart"/>
      <w:r w:rsidRPr="003F4406">
        <w:rPr>
          <w:iCs/>
          <w:lang w:val="en-US"/>
        </w:rPr>
        <w:t>Кіндзера</w:t>
      </w:r>
      <w:proofErr w:type="spellEnd"/>
      <w:r w:rsidRPr="003F4406">
        <w:rPr>
          <w:iCs/>
          <w:lang w:val="en-US"/>
        </w:rPr>
        <w:t xml:space="preserve"> Д.П</w:t>
      </w:r>
      <w:r w:rsidRPr="003F4406">
        <w:rPr>
          <w:iCs/>
        </w:rPr>
        <w:t xml:space="preserve">., </w:t>
      </w:r>
      <w:proofErr w:type="spellStart"/>
      <w:r w:rsidRPr="003F4406">
        <w:rPr>
          <w:iCs/>
          <w:lang w:val="en-US"/>
        </w:rPr>
        <w:t>Атаманюк</w:t>
      </w:r>
      <w:proofErr w:type="spellEnd"/>
      <w:r w:rsidRPr="003F4406">
        <w:rPr>
          <w:iCs/>
          <w:lang w:val="en-US"/>
        </w:rPr>
        <w:t xml:space="preserve"> В.М.,</w:t>
      </w:r>
      <w:r w:rsidRPr="003F4406">
        <w:rPr>
          <w:iCs/>
        </w:rPr>
        <w:t xml:space="preserve"> </w:t>
      </w:r>
      <w:proofErr w:type="spellStart"/>
      <w:r w:rsidRPr="003F4406">
        <w:rPr>
          <w:iCs/>
          <w:lang w:val="en-US"/>
        </w:rPr>
        <w:t>Госовський</w:t>
      </w:r>
      <w:proofErr w:type="spellEnd"/>
      <w:r w:rsidRPr="003F4406">
        <w:rPr>
          <w:iCs/>
          <w:lang w:val="en-US"/>
        </w:rPr>
        <w:t xml:space="preserve"> Р.Р.</w:t>
      </w:r>
      <w:r w:rsidRPr="003F4406">
        <w:rPr>
          <w:iCs/>
        </w:rPr>
        <w:t xml:space="preserve">, </w:t>
      </w:r>
      <w:proofErr w:type="spellStart"/>
      <w:r w:rsidRPr="003F4406">
        <w:rPr>
          <w:iCs/>
        </w:rPr>
        <w:t>Мотіль</w:t>
      </w:r>
      <w:proofErr w:type="spellEnd"/>
      <w:r w:rsidRPr="003F4406">
        <w:rPr>
          <w:iCs/>
        </w:rPr>
        <w:t xml:space="preserve"> І.М. Дослідження процесу формування брикетів з рослинної сировини та визначення їх характеристик. </w:t>
      </w:r>
      <w:r w:rsidRPr="003F4406">
        <w:rPr>
          <w:i/>
        </w:rPr>
        <w:t>Науковий вісник Національного лісотехнічного університету України. Збірник науково-технічних праць</w:t>
      </w:r>
      <w:r w:rsidRPr="003F4406">
        <w:rPr>
          <w:iCs/>
        </w:rPr>
        <w:t xml:space="preserve">. Львів: НЛТУ України, 2013. </w:t>
      </w:r>
      <w:proofErr w:type="spellStart"/>
      <w:r w:rsidRPr="003F4406">
        <w:rPr>
          <w:iCs/>
        </w:rPr>
        <w:t>Вип</w:t>
      </w:r>
      <w:proofErr w:type="spellEnd"/>
      <w:r w:rsidRPr="003F4406">
        <w:rPr>
          <w:iCs/>
        </w:rPr>
        <w:t>. 23.17. С. 138-146.</w:t>
      </w:r>
    </w:p>
    <w:p w14:paraId="587BF867" w14:textId="0416C9D8" w:rsidR="003F4406" w:rsidRPr="003F4406" w:rsidRDefault="003F4406" w:rsidP="003F4406">
      <w:pPr>
        <w:spacing w:line="276" w:lineRule="auto"/>
        <w:ind w:firstLine="851"/>
        <w:jc w:val="both"/>
      </w:pPr>
      <w:r w:rsidRPr="003F4406">
        <w:rPr>
          <w:iCs/>
        </w:rPr>
        <w:t>5. </w:t>
      </w:r>
      <w:r w:rsidRPr="003F4406">
        <w:rPr>
          <w:lang w:val="it-IT"/>
        </w:rPr>
        <w:t>Geletukha, G.G., Zhelezna, T.A., Dragnev</w:t>
      </w:r>
      <w:r w:rsidRPr="003F4406">
        <w:t>, </w:t>
      </w:r>
      <w:r w:rsidRPr="003F4406">
        <w:rPr>
          <w:lang w:val="it-IT"/>
        </w:rPr>
        <w:t xml:space="preserve">S.V. </w:t>
      </w:r>
      <w:r w:rsidRPr="003F4406">
        <w:rPr>
          <w:lang w:val="en-US"/>
        </w:rPr>
        <w:t>Analysis of the</w:t>
      </w:r>
      <w:r w:rsidRPr="003F4406">
        <w:t xml:space="preserve"> </w:t>
      </w:r>
      <w:r w:rsidRPr="003F4406">
        <w:rPr>
          <w:lang w:val="en-US"/>
        </w:rPr>
        <w:t xml:space="preserve">possibilities of production and use of briquettes from </w:t>
      </w:r>
      <w:proofErr w:type="spellStart"/>
      <w:r w:rsidRPr="003F4406">
        <w:rPr>
          <w:lang w:val="en-US"/>
        </w:rPr>
        <w:t>agrobiomass</w:t>
      </w:r>
      <w:proofErr w:type="spellEnd"/>
      <w:r w:rsidRPr="003F4406">
        <w:rPr>
          <w:lang w:val="en-US"/>
        </w:rPr>
        <w:t xml:space="preserve"> in Ukraine. </w:t>
      </w:r>
      <w:r w:rsidRPr="003F4406">
        <w:rPr>
          <w:i/>
          <w:lang w:val="en-US"/>
        </w:rPr>
        <w:t>UAB Analytical Note</w:t>
      </w:r>
      <w:r w:rsidRPr="003F4406">
        <w:rPr>
          <w:i/>
        </w:rPr>
        <w:t>.</w:t>
      </w:r>
      <w:r w:rsidRPr="003F4406">
        <w:rPr>
          <w:i/>
          <w:lang w:val="en-US"/>
        </w:rPr>
        <w:t xml:space="preserve"> </w:t>
      </w:r>
      <w:r w:rsidRPr="003F4406">
        <w:rPr>
          <w:iCs/>
          <w:lang w:val="en-US"/>
        </w:rPr>
        <w:t>No. 20.</w:t>
      </w:r>
      <w:r w:rsidRPr="003F4406">
        <w:rPr>
          <w:lang w:val="en-US"/>
        </w:rPr>
        <w:t xml:space="preserve"> </w:t>
      </w:r>
      <w:r w:rsidRPr="003F4406">
        <w:rPr>
          <w:lang w:val="it-IT"/>
        </w:rPr>
        <w:t>2018</w:t>
      </w:r>
      <w:r w:rsidRPr="003F4406">
        <w:t xml:space="preserve">. </w:t>
      </w:r>
      <w:r w:rsidRPr="003F4406">
        <w:rPr>
          <w:lang w:val="en-US"/>
        </w:rPr>
        <w:t xml:space="preserve">Retrieved from: www.uabio.org/activity/uabio-analytics </w:t>
      </w:r>
    </w:p>
    <w:bookmarkEnd w:id="3"/>
    <w:p w14:paraId="26F57989" w14:textId="77777777" w:rsidR="003F4406" w:rsidRPr="003F4406" w:rsidRDefault="003F4406" w:rsidP="003F4406">
      <w:pPr>
        <w:spacing w:line="276" w:lineRule="auto"/>
        <w:ind w:firstLine="851"/>
        <w:jc w:val="both"/>
        <w:rPr>
          <w:lang w:val="ru-RU"/>
        </w:rPr>
      </w:pPr>
      <w:r w:rsidRPr="003F4406">
        <w:t>6. </w:t>
      </w:r>
      <w:proofErr w:type="spellStart"/>
      <w:r w:rsidRPr="003F4406">
        <w:t>Данілов</w:t>
      </w:r>
      <w:proofErr w:type="spellEnd"/>
      <w:r w:rsidRPr="003F4406">
        <w:t xml:space="preserve"> В.Я. Статистична обробка даних: навчальний посібник. Київ: КНУ ім. Т. Шевченка, 2019. 196 с</w:t>
      </w:r>
      <w:r w:rsidRPr="003F4406">
        <w:rPr>
          <w:lang w:val="ru-RU"/>
        </w:rPr>
        <w:t>.</w:t>
      </w:r>
    </w:p>
    <w:p w14:paraId="37A8DD1B" w14:textId="77777777" w:rsidR="003F4406" w:rsidRDefault="003F4406" w:rsidP="005E5AB3">
      <w:pPr>
        <w:spacing w:line="276" w:lineRule="auto"/>
        <w:ind w:firstLine="851"/>
        <w:jc w:val="both"/>
        <w:rPr>
          <w:lang w:val="en-GB"/>
        </w:rPr>
      </w:pPr>
    </w:p>
    <w:sectPr w:rsidR="003F440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altName w:val="Calibri"/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9A6"/>
    <w:rsid w:val="000105E6"/>
    <w:rsid w:val="000572F2"/>
    <w:rsid w:val="000924DB"/>
    <w:rsid w:val="000A59C6"/>
    <w:rsid w:val="001C57B4"/>
    <w:rsid w:val="001C66F4"/>
    <w:rsid w:val="001F20DD"/>
    <w:rsid w:val="002553D0"/>
    <w:rsid w:val="00273FF4"/>
    <w:rsid w:val="002B3E21"/>
    <w:rsid w:val="00325BE5"/>
    <w:rsid w:val="003F4406"/>
    <w:rsid w:val="005E5AB3"/>
    <w:rsid w:val="005F0A13"/>
    <w:rsid w:val="006315EF"/>
    <w:rsid w:val="009259A6"/>
    <w:rsid w:val="00A61E1B"/>
    <w:rsid w:val="00AD6D9A"/>
    <w:rsid w:val="00B60B3B"/>
    <w:rsid w:val="00C14C72"/>
    <w:rsid w:val="00CF2B32"/>
    <w:rsid w:val="00CF3EE3"/>
    <w:rsid w:val="00D13D29"/>
    <w:rsid w:val="00F10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FDE0EC"/>
  <w15:chartTrackingRefBased/>
  <w15:docId w15:val="{A56474E3-26CB-4037-BBD1-103782315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kern w:val="2"/>
        <w:sz w:val="28"/>
        <w:szCs w:val="28"/>
        <w:lang w:val="uk-UA" w:eastAsia="en-US" w:bidi="ar-SA"/>
        <w14:ligatures w14:val="standardContextual"/>
      </w:rPr>
    </w:rPrDefault>
    <w:pPrDefault>
      <w:pPr>
        <w:spacing w:line="360" w:lineRule="auto"/>
        <w:ind w:firstLine="851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15EF"/>
    <w:pPr>
      <w:spacing w:line="240" w:lineRule="auto"/>
      <w:ind w:firstLine="0"/>
      <w:jc w:val="left"/>
    </w:pPr>
    <w:rPr>
      <w:kern w:val="0"/>
      <w:szCs w:val="22"/>
      <w14:ligatures w14:val="none"/>
    </w:rPr>
  </w:style>
  <w:style w:type="paragraph" w:styleId="1">
    <w:name w:val="heading 1"/>
    <w:basedOn w:val="a"/>
    <w:next w:val="a"/>
    <w:link w:val="10"/>
    <w:autoRedefine/>
    <w:uiPriority w:val="9"/>
    <w:qFormat/>
    <w:rsid w:val="00AD6D9A"/>
    <w:pPr>
      <w:keepNext/>
      <w:keepLines/>
      <w:spacing w:line="360" w:lineRule="auto"/>
      <w:ind w:firstLine="851"/>
      <w:outlineLvl w:val="0"/>
    </w:pPr>
    <w:rPr>
      <w:rFonts w:eastAsiaTheme="majorEastAsia" w:cstheme="majorBidi"/>
      <w:b/>
      <w:szCs w:val="32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AD6D9A"/>
    <w:pPr>
      <w:keepNext/>
      <w:keepLines/>
      <w:spacing w:line="360" w:lineRule="auto"/>
      <w:outlineLvl w:val="1"/>
    </w:pPr>
    <w:rPr>
      <w:rFonts w:eastAsiaTheme="majorEastAsia" w:cstheme="majorBidi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59A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59A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59A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59A6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59A6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59A6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59A6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D6D9A"/>
    <w:rPr>
      <w:rFonts w:eastAsiaTheme="majorEastAsia" w:cstheme="majorBidi"/>
      <w:szCs w:val="26"/>
    </w:rPr>
  </w:style>
  <w:style w:type="character" w:customStyle="1" w:styleId="10">
    <w:name w:val="Заголовок 1 Знак"/>
    <w:basedOn w:val="a0"/>
    <w:link w:val="1"/>
    <w:uiPriority w:val="9"/>
    <w:rsid w:val="00AD6D9A"/>
    <w:rPr>
      <w:rFonts w:eastAsiaTheme="majorEastAsia" w:cstheme="majorBidi"/>
      <w:b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259A6"/>
    <w:rPr>
      <w:rFonts w:asciiTheme="minorHAnsi" w:eastAsiaTheme="majorEastAsia" w:hAnsiTheme="minorHAnsi" w:cstheme="majorBidi"/>
      <w:color w:val="0F4761" w:themeColor="accent1" w:themeShade="BF"/>
      <w:kern w:val="0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9259A6"/>
    <w:rPr>
      <w:rFonts w:asciiTheme="minorHAnsi" w:eastAsiaTheme="majorEastAsia" w:hAnsiTheme="minorHAnsi" w:cstheme="majorBidi"/>
      <w:i/>
      <w:iCs/>
      <w:color w:val="0F4761" w:themeColor="accent1" w:themeShade="BF"/>
      <w:kern w:val="0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9259A6"/>
    <w:rPr>
      <w:rFonts w:asciiTheme="minorHAnsi" w:eastAsiaTheme="majorEastAsia" w:hAnsiTheme="minorHAnsi" w:cstheme="majorBidi"/>
      <w:color w:val="0F4761" w:themeColor="accent1" w:themeShade="BF"/>
      <w:kern w:val="0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9259A6"/>
    <w:rPr>
      <w:rFonts w:asciiTheme="minorHAnsi" w:eastAsiaTheme="majorEastAsia" w:hAnsiTheme="minorHAnsi" w:cstheme="majorBidi"/>
      <w:i/>
      <w:iCs/>
      <w:color w:val="595959" w:themeColor="text1" w:themeTint="A6"/>
      <w:kern w:val="0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9259A6"/>
    <w:rPr>
      <w:rFonts w:asciiTheme="minorHAnsi" w:eastAsiaTheme="majorEastAsia" w:hAnsiTheme="minorHAnsi" w:cstheme="majorBidi"/>
      <w:color w:val="595959" w:themeColor="text1" w:themeTint="A6"/>
      <w:kern w:val="0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9259A6"/>
    <w:rPr>
      <w:rFonts w:asciiTheme="minorHAnsi" w:eastAsiaTheme="majorEastAsia" w:hAnsiTheme="minorHAnsi" w:cstheme="majorBidi"/>
      <w:i/>
      <w:iCs/>
      <w:color w:val="272727" w:themeColor="text1" w:themeTint="D8"/>
      <w:kern w:val="0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9259A6"/>
    <w:rPr>
      <w:rFonts w:asciiTheme="minorHAnsi" w:eastAsiaTheme="majorEastAsia" w:hAnsiTheme="minorHAnsi" w:cstheme="majorBidi"/>
      <w:color w:val="272727" w:themeColor="text1" w:themeTint="D8"/>
      <w:kern w:val="0"/>
      <w:szCs w:val="22"/>
      <w14:ligatures w14:val="none"/>
    </w:rPr>
  </w:style>
  <w:style w:type="paragraph" w:styleId="a3">
    <w:name w:val="Title"/>
    <w:basedOn w:val="a"/>
    <w:next w:val="a"/>
    <w:link w:val="a4"/>
    <w:uiPriority w:val="10"/>
    <w:qFormat/>
    <w:rsid w:val="009259A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9259A6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a5">
    <w:name w:val="Subtitle"/>
    <w:basedOn w:val="a"/>
    <w:next w:val="a"/>
    <w:link w:val="a6"/>
    <w:uiPriority w:val="11"/>
    <w:qFormat/>
    <w:rsid w:val="009259A6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9259A6"/>
    <w:rPr>
      <w:rFonts w:asciiTheme="minorHAnsi" w:eastAsiaTheme="majorEastAsia" w:hAnsiTheme="minorHAnsi" w:cstheme="majorBidi"/>
      <w:color w:val="595959" w:themeColor="text1" w:themeTint="A6"/>
      <w:spacing w:val="15"/>
      <w:kern w:val="0"/>
      <w14:ligatures w14:val="none"/>
    </w:rPr>
  </w:style>
  <w:style w:type="paragraph" w:styleId="a7">
    <w:name w:val="Quote"/>
    <w:basedOn w:val="a"/>
    <w:next w:val="a"/>
    <w:link w:val="a8"/>
    <w:uiPriority w:val="29"/>
    <w:qFormat/>
    <w:rsid w:val="009259A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9259A6"/>
    <w:rPr>
      <w:i/>
      <w:iCs/>
      <w:color w:val="404040" w:themeColor="text1" w:themeTint="BF"/>
      <w:kern w:val="0"/>
      <w:szCs w:val="22"/>
      <w14:ligatures w14:val="none"/>
    </w:rPr>
  </w:style>
  <w:style w:type="paragraph" w:styleId="a9">
    <w:name w:val="List Paragraph"/>
    <w:basedOn w:val="a"/>
    <w:uiPriority w:val="34"/>
    <w:qFormat/>
    <w:rsid w:val="009259A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259A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259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9259A6"/>
    <w:rPr>
      <w:i/>
      <w:iCs/>
      <w:color w:val="0F4761" w:themeColor="accent1" w:themeShade="BF"/>
      <w:kern w:val="0"/>
      <w:szCs w:val="22"/>
      <w14:ligatures w14:val="none"/>
    </w:rPr>
  </w:style>
  <w:style w:type="character" w:styleId="ad">
    <w:name w:val="Intense Reference"/>
    <w:basedOn w:val="a0"/>
    <w:uiPriority w:val="32"/>
    <w:qFormat/>
    <w:rsid w:val="009259A6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1C57B4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1C57B4"/>
    <w:rPr>
      <w:color w:val="605E5C"/>
      <w:shd w:val="clear" w:color="auto" w:fill="E1DFDD"/>
    </w:rPr>
  </w:style>
  <w:style w:type="character" w:styleId="af0">
    <w:name w:val="FollowedHyperlink"/>
    <w:basedOn w:val="a0"/>
    <w:uiPriority w:val="99"/>
    <w:semiHidden/>
    <w:unhideWhenUsed/>
    <w:rsid w:val="001F20DD"/>
    <w:rPr>
      <w:color w:val="96607D" w:themeColor="followedHyperlink"/>
      <w:u w:val="single"/>
    </w:rPr>
  </w:style>
  <w:style w:type="table" w:styleId="af1">
    <w:name w:val="Table Grid"/>
    <w:basedOn w:val="a1"/>
    <w:uiPriority w:val="39"/>
    <w:rsid w:val="003F440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784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4868</Words>
  <Characters>2776</Characters>
  <Application>Microsoft Office Word</Application>
  <DocSecurity>0</DocSecurity>
  <Lines>23</Lines>
  <Paragraphs>15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Viacheslav Bratishko</dc:creator>
  <cp:keywords/>
  <dc:description/>
  <cp:lastModifiedBy>Victor Rebenko</cp:lastModifiedBy>
  <cp:revision>3</cp:revision>
  <dcterms:created xsi:type="dcterms:W3CDTF">2024-10-28T16:36:00Z</dcterms:created>
  <dcterms:modified xsi:type="dcterms:W3CDTF">2025-11-10T09:21:00Z</dcterms:modified>
</cp:coreProperties>
</file>