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1EF0F51F" w:rsidR="00995A9E" w:rsidRPr="006841A8" w:rsidRDefault="00995A9E" w:rsidP="009D0567">
      <w:pPr>
        <w:spacing w:line="276" w:lineRule="auto"/>
        <w:ind w:firstLine="0"/>
        <w:rPr>
          <w:sz w:val="28"/>
          <w:szCs w:val="28"/>
        </w:rPr>
      </w:pPr>
      <w:r w:rsidRPr="006841A8">
        <w:rPr>
          <w:sz w:val="28"/>
          <w:szCs w:val="28"/>
        </w:rPr>
        <w:t xml:space="preserve">УДК </w:t>
      </w:r>
      <w:r w:rsidR="0035230F" w:rsidRPr="0035230F">
        <w:rPr>
          <w:sz w:val="28"/>
          <w:szCs w:val="28"/>
        </w:rPr>
        <w:t>629.114.2:534.1</w:t>
      </w:r>
    </w:p>
    <w:p w14:paraId="102E8AD0" w14:textId="77777777" w:rsidR="00700658" w:rsidRPr="006841A8" w:rsidRDefault="00700658" w:rsidP="009D0567">
      <w:pPr>
        <w:spacing w:line="276" w:lineRule="auto"/>
        <w:ind w:firstLine="0"/>
        <w:rPr>
          <w:sz w:val="28"/>
          <w:szCs w:val="28"/>
        </w:rPr>
      </w:pPr>
    </w:p>
    <w:p w14:paraId="648FFEA3" w14:textId="573E8761" w:rsidR="00D072F7" w:rsidRPr="006841A8" w:rsidRDefault="0035230F" w:rsidP="006841A8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35230F">
        <w:rPr>
          <w:b/>
          <w:caps/>
          <w:sz w:val="28"/>
          <w:szCs w:val="28"/>
        </w:rPr>
        <w:t>РОЗРАХУНКОВА СХЕМА ДИНАМІЧНОЇ КОЛИВАЛЬНОЇ СИСТЕМИ МОБІЛЬНОГО ЕНЕРГЕТИЧНОГО ЗАСОБУ</w:t>
      </w:r>
    </w:p>
    <w:p w14:paraId="0328B272" w14:textId="77777777" w:rsidR="00995A9E" w:rsidRPr="006841A8" w:rsidRDefault="00995A9E" w:rsidP="009D0567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1925A041" w14:textId="77777777" w:rsidR="0035230F" w:rsidRPr="0035230F" w:rsidRDefault="0035230F" w:rsidP="0035230F">
      <w:pPr>
        <w:spacing w:line="276" w:lineRule="auto"/>
        <w:ind w:firstLine="0"/>
        <w:jc w:val="center"/>
        <w:rPr>
          <w:rFonts w:eastAsia="Times New Roman" w:cs="Times New Roman"/>
          <w:b/>
          <w:sz w:val="28"/>
          <w:szCs w:val="28"/>
          <w:lang w:eastAsia="uk-UA"/>
        </w:rPr>
      </w:pPr>
      <w:r w:rsidRPr="0035230F">
        <w:rPr>
          <w:rFonts w:eastAsia="Times New Roman" w:cs="Times New Roman"/>
          <w:b/>
          <w:sz w:val="28"/>
          <w:szCs w:val="28"/>
          <w:lang w:eastAsia="uk-UA"/>
        </w:rPr>
        <w:t xml:space="preserve">Дерев’янко Д.А., </w:t>
      </w:r>
      <w:proofErr w:type="spellStart"/>
      <w:r w:rsidRPr="0035230F">
        <w:rPr>
          <w:rFonts w:eastAsia="Times New Roman" w:cs="Times New Roman"/>
          <w:bCs/>
          <w:sz w:val="28"/>
          <w:szCs w:val="28"/>
          <w:lang w:eastAsia="uk-UA"/>
        </w:rPr>
        <w:t>д.т.н</w:t>
      </w:r>
      <w:proofErr w:type="spellEnd"/>
      <w:r w:rsidRPr="0035230F">
        <w:rPr>
          <w:rFonts w:eastAsia="Times New Roman" w:cs="Times New Roman"/>
          <w:bCs/>
          <w:sz w:val="28"/>
          <w:szCs w:val="28"/>
          <w:lang w:eastAsia="uk-UA"/>
        </w:rPr>
        <w:t>., професор,</w:t>
      </w:r>
    </w:p>
    <w:p w14:paraId="5381ADDC" w14:textId="77777777" w:rsidR="0035230F" w:rsidRPr="0035230F" w:rsidRDefault="0035230F" w:rsidP="0035230F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vertAlign w:val="superscript"/>
          <w:lang w:eastAsia="uk-UA"/>
        </w:rPr>
      </w:pPr>
      <w:r w:rsidRPr="0035230F">
        <w:rPr>
          <w:rFonts w:eastAsia="Times New Roman" w:cs="Times New Roman"/>
          <w:b/>
          <w:bCs/>
          <w:sz w:val="28"/>
          <w:szCs w:val="28"/>
          <w:lang w:eastAsia="uk-UA"/>
        </w:rPr>
        <w:t xml:space="preserve">Бродовський Д.О., </w:t>
      </w:r>
      <w:r w:rsidRPr="0035230F">
        <w:rPr>
          <w:rFonts w:eastAsia="Times New Roman" w:cs="Times New Roman"/>
          <w:sz w:val="28"/>
          <w:szCs w:val="28"/>
          <w:lang w:eastAsia="uk-UA"/>
        </w:rPr>
        <w:t xml:space="preserve">здобувач освіти </w:t>
      </w:r>
      <w:r w:rsidRPr="0035230F">
        <w:rPr>
          <w:rFonts w:eastAsia="Times New Roman" w:cs="Times New Roman"/>
          <w:b/>
          <w:bCs/>
          <w:sz w:val="28"/>
          <w:szCs w:val="28"/>
          <w:lang w:eastAsia="uk-UA"/>
        </w:rPr>
        <w:t xml:space="preserve">Білоусов О.В., </w:t>
      </w:r>
      <w:r w:rsidRPr="0035230F">
        <w:rPr>
          <w:rFonts w:eastAsia="Times New Roman" w:cs="Times New Roman"/>
          <w:sz w:val="28"/>
          <w:szCs w:val="28"/>
          <w:lang w:eastAsia="uk-UA"/>
        </w:rPr>
        <w:t>здобувач освіти</w:t>
      </w:r>
    </w:p>
    <w:p w14:paraId="30F7BF5E" w14:textId="77777777" w:rsidR="0035230F" w:rsidRPr="0035230F" w:rsidRDefault="0035230F" w:rsidP="0035230F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35230F">
        <w:rPr>
          <w:rFonts w:eastAsia="Times New Roman" w:cs="Times New Roman"/>
          <w:i/>
          <w:sz w:val="28"/>
          <w:szCs w:val="28"/>
          <w:lang w:eastAsia="uk-UA"/>
        </w:rPr>
        <w:t>Поліський національний університет, м. Житомир</w:t>
      </w:r>
    </w:p>
    <w:p w14:paraId="6C75590E" w14:textId="77777777" w:rsidR="00995A9E" w:rsidRPr="006841A8" w:rsidRDefault="00995A9E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5BB139FA" w14:textId="77777777" w:rsidR="0035230F" w:rsidRPr="0035230F" w:rsidRDefault="0035230F" w:rsidP="0035230F">
      <w:pPr>
        <w:spacing w:line="276" w:lineRule="auto"/>
        <w:jc w:val="both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t xml:space="preserve">З проведених раніше досліджень </w:t>
      </w:r>
      <w:r w:rsidRPr="0035230F">
        <w:rPr>
          <w:rFonts w:cs="Times New Roman"/>
          <w:sz w:val="28"/>
          <w:szCs w:val="28"/>
          <w:lang w:val="ru-RU"/>
        </w:rPr>
        <w:t>[1, 2, 3,]</w:t>
      </w:r>
      <w:r w:rsidRPr="0035230F">
        <w:rPr>
          <w:rFonts w:cs="Times New Roman"/>
          <w:sz w:val="28"/>
          <w:szCs w:val="28"/>
        </w:rPr>
        <w:t>, можна виділити такі способи зменшення інтенсивності коливань у системі:</w:t>
      </w:r>
    </w:p>
    <w:p w14:paraId="390A18FE" w14:textId="77777777" w:rsidR="0035230F" w:rsidRPr="0035230F" w:rsidRDefault="0035230F" w:rsidP="0035230F">
      <w:pPr>
        <w:numPr>
          <w:ilvl w:val="0"/>
          <w:numId w:val="7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t xml:space="preserve">Зниження </w:t>
      </w:r>
      <w:proofErr w:type="spellStart"/>
      <w:r w:rsidRPr="0035230F">
        <w:rPr>
          <w:rFonts w:cs="Times New Roman"/>
          <w:sz w:val="28"/>
          <w:szCs w:val="28"/>
        </w:rPr>
        <w:t>віброактивності</w:t>
      </w:r>
      <w:proofErr w:type="spellEnd"/>
      <w:r w:rsidRPr="0035230F">
        <w:rPr>
          <w:rFonts w:cs="Times New Roman"/>
          <w:sz w:val="28"/>
          <w:szCs w:val="28"/>
        </w:rPr>
        <w:t xml:space="preserve"> джерела коливань – зменшення рівнів механічних впливів, що збуджуються джерелом. Для цього здійснюють урівноваження важільних механізмів і балансування роторів.</w:t>
      </w:r>
    </w:p>
    <w:p w14:paraId="536D94B3" w14:textId="77777777" w:rsidR="0035230F" w:rsidRPr="0035230F" w:rsidRDefault="0035230F" w:rsidP="0035230F">
      <w:pPr>
        <w:numPr>
          <w:ilvl w:val="0"/>
          <w:numId w:val="7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t>Внутрішній віброзахист об’єкта – зміною конструкції об’єкта, за якої задані механічні впливи викликають менш інтенсивні коливання об’єкта або окремих його частин.</w:t>
      </w:r>
    </w:p>
    <w:p w14:paraId="2DEE7B5C" w14:textId="77777777" w:rsidR="0035230F" w:rsidRPr="0035230F" w:rsidRDefault="0035230F" w:rsidP="0035230F">
      <w:pPr>
        <w:numPr>
          <w:ilvl w:val="0"/>
          <w:numId w:val="7"/>
        </w:numPr>
        <w:spacing w:line="276" w:lineRule="auto"/>
        <w:jc w:val="both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t>Динамічне гасіння коливань – приєднанням до об’єкта динамічного гасника коливань, тобто додаткової динамічної системи, яка змінює характер коливань основної системи.</w:t>
      </w:r>
    </w:p>
    <w:p w14:paraId="30FF3437" w14:textId="77777777" w:rsidR="0035230F" w:rsidRPr="0035230F" w:rsidRDefault="0035230F" w:rsidP="0035230F">
      <w:pPr>
        <w:spacing w:line="276" w:lineRule="auto"/>
        <w:jc w:val="both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t xml:space="preserve">Вхідним сигналом у даній моделі є </w:t>
      </w:r>
      <w:proofErr w:type="spellStart"/>
      <w:r w:rsidRPr="0035230F">
        <w:rPr>
          <w:rFonts w:cs="Times New Roman"/>
          <w:sz w:val="28"/>
          <w:szCs w:val="28"/>
        </w:rPr>
        <w:t>недеформівний</w:t>
      </w:r>
      <w:proofErr w:type="spellEnd"/>
      <w:r w:rsidRPr="0035230F">
        <w:rPr>
          <w:rFonts w:cs="Times New Roman"/>
          <w:sz w:val="28"/>
          <w:szCs w:val="28"/>
        </w:rPr>
        <w:t xml:space="preserve"> ґрунт, однак найбільш точним методом розрахунку є польові вимірювання ґрунту під час проходу по ньому ТТС (транспортно-технологічного засобу) та зняття характеристики залежності щільності й висоти </w:t>
      </w:r>
      <w:proofErr w:type="spellStart"/>
      <w:r w:rsidRPr="0035230F">
        <w:rPr>
          <w:rFonts w:cs="Times New Roman"/>
          <w:sz w:val="28"/>
          <w:szCs w:val="28"/>
        </w:rPr>
        <w:t>нерівностей</w:t>
      </w:r>
      <w:proofErr w:type="spellEnd"/>
      <w:r w:rsidRPr="0035230F">
        <w:rPr>
          <w:rFonts w:cs="Times New Roman"/>
          <w:sz w:val="28"/>
          <w:szCs w:val="28"/>
        </w:rPr>
        <w:t xml:space="preserve"> від частоти. Подальші аналізи передбачають розробку математичної моделі ґрунту як </w:t>
      </w:r>
      <w:proofErr w:type="spellStart"/>
      <w:r w:rsidRPr="0035230F">
        <w:rPr>
          <w:rFonts w:cs="Times New Roman"/>
          <w:sz w:val="28"/>
          <w:szCs w:val="28"/>
        </w:rPr>
        <w:t>в’язкопластичного</w:t>
      </w:r>
      <w:proofErr w:type="spellEnd"/>
      <w:r w:rsidRPr="0035230F">
        <w:rPr>
          <w:rFonts w:cs="Times New Roman"/>
          <w:sz w:val="28"/>
          <w:szCs w:val="28"/>
        </w:rPr>
        <w:t xml:space="preserve"> тіла, що враховує такі параметри, як: внутрішнє зчеплення в ґрунті, товщина м’якого шару, модуль деформації, вологість і щільність.</w:t>
      </w:r>
    </w:p>
    <w:p w14:paraId="4982F9DF" w14:textId="77777777" w:rsidR="0035230F" w:rsidRPr="0035230F" w:rsidRDefault="0035230F" w:rsidP="0035230F">
      <w:pPr>
        <w:spacing w:line="276" w:lineRule="auto"/>
        <w:jc w:val="both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t xml:space="preserve">У даній моделі трактор розглядається як динамічна система, що являє собою пов’язані (елементами підресорювання) системи, які надають пружність (с) і (k) – </w:t>
      </w:r>
      <w:proofErr w:type="spellStart"/>
      <w:r w:rsidRPr="0035230F">
        <w:rPr>
          <w:rFonts w:cs="Times New Roman"/>
          <w:sz w:val="28"/>
          <w:szCs w:val="28"/>
        </w:rPr>
        <w:t>демпфувальні</w:t>
      </w:r>
      <w:proofErr w:type="spellEnd"/>
      <w:r w:rsidRPr="0035230F">
        <w:rPr>
          <w:rFonts w:cs="Times New Roman"/>
          <w:sz w:val="28"/>
          <w:szCs w:val="28"/>
        </w:rPr>
        <w:t xml:space="preserve"> системи. У цій постановці коливальна модель трактора розглядається як стаціонарна система з варійованим коефіцієнтом жорсткості передньої підвіски, однак таким, що не змінюється в часі з точки зору подолання одиничної нерівності (тобто стійка щодо прикладеного впливу).</w:t>
      </w:r>
    </w:p>
    <w:p w14:paraId="40B8BC53" w14:textId="77777777" w:rsidR="0035230F" w:rsidRPr="0035230F" w:rsidRDefault="0035230F" w:rsidP="0035230F">
      <w:pPr>
        <w:spacing w:line="276" w:lineRule="auto"/>
        <w:jc w:val="both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t>Розрахунок проводився з урахуванням технологічних процесів виконання сільськогосподарських операцій: оранка лемішним навісним чотирикорпусним плугом ПЛН-4-35, призначеним для виконання оранки під зернові та технічні культури, а також у транспортному режимі.</w:t>
      </w:r>
    </w:p>
    <w:p w14:paraId="0A1D8D9A" w14:textId="77777777" w:rsidR="0035230F" w:rsidRPr="0035230F" w:rsidRDefault="0035230F" w:rsidP="0035230F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lastRenderedPageBreak/>
        <w:drawing>
          <wp:inline distT="0" distB="0" distL="0" distR="0" wp14:anchorId="72F864B2" wp14:editId="3E3C04FD">
            <wp:extent cx="5295675" cy="3741420"/>
            <wp:effectExtent l="0" t="0" r="635" b="0"/>
            <wp:docPr id="712211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2112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7868" cy="3742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E116E" w14:textId="19733EDD" w:rsidR="0035230F" w:rsidRDefault="0035230F" w:rsidP="0035230F">
      <w:pPr>
        <w:spacing w:line="276" w:lineRule="auto"/>
        <w:ind w:firstLine="0"/>
        <w:jc w:val="center"/>
        <w:rPr>
          <w:rFonts w:cs="Times New Roman"/>
          <w:sz w:val="28"/>
          <w:szCs w:val="28"/>
          <w:lang w:val="ru-RU"/>
        </w:rPr>
      </w:pPr>
      <w:r w:rsidRPr="0035230F">
        <w:rPr>
          <w:rFonts w:cs="Times New Roman"/>
          <w:sz w:val="28"/>
          <w:szCs w:val="28"/>
        </w:rPr>
        <w:t xml:space="preserve">Рис. 1. Дискретні моделі передньої (а) та задньої підвісок трактора (б) з кутом </w:t>
      </w:r>
      <w:proofErr w:type="spellStart"/>
      <w:r w:rsidRPr="0035230F">
        <w:rPr>
          <w:rFonts w:cs="Times New Roman"/>
          <w:sz w:val="28"/>
          <w:szCs w:val="28"/>
        </w:rPr>
        <w:t>тангажу</w:t>
      </w:r>
      <w:proofErr w:type="spellEnd"/>
      <w:r w:rsidRPr="0035230F">
        <w:rPr>
          <w:rFonts w:cs="Times New Roman"/>
          <w:sz w:val="28"/>
          <w:szCs w:val="28"/>
        </w:rPr>
        <w:t xml:space="preserve"> при подоланні одиничної нерівності</w:t>
      </w:r>
      <w:r w:rsidRPr="0035230F">
        <w:rPr>
          <w:rFonts w:cs="Times New Roman"/>
          <w:sz w:val="28"/>
          <w:szCs w:val="28"/>
          <w:lang w:val="ru-RU"/>
        </w:rPr>
        <w:t>.</w:t>
      </w:r>
    </w:p>
    <w:p w14:paraId="753F5AC1" w14:textId="77777777" w:rsidR="0035230F" w:rsidRPr="0035230F" w:rsidRDefault="0035230F" w:rsidP="0035230F">
      <w:pPr>
        <w:spacing w:line="276" w:lineRule="auto"/>
        <w:ind w:firstLine="0"/>
        <w:jc w:val="center"/>
        <w:rPr>
          <w:rFonts w:cs="Times New Roman"/>
          <w:sz w:val="28"/>
          <w:szCs w:val="28"/>
          <w:lang w:val="ru-RU"/>
        </w:rPr>
      </w:pPr>
    </w:p>
    <w:p w14:paraId="3E7F838D" w14:textId="77777777" w:rsidR="0035230F" w:rsidRPr="0035230F" w:rsidRDefault="0035230F" w:rsidP="0035230F">
      <w:pPr>
        <w:spacing w:line="276" w:lineRule="auto"/>
        <w:jc w:val="both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t xml:space="preserve">Під час складання динамічної моделі враховувалися вертикальні коливання, оскільки вони вносять найбільш суттєвий внесок як у </w:t>
      </w:r>
      <w:proofErr w:type="spellStart"/>
      <w:r w:rsidRPr="0035230F">
        <w:rPr>
          <w:rFonts w:cs="Times New Roman"/>
          <w:sz w:val="28"/>
          <w:szCs w:val="28"/>
        </w:rPr>
        <w:t>навантаженість</w:t>
      </w:r>
      <w:proofErr w:type="spellEnd"/>
      <w:r w:rsidRPr="0035230F">
        <w:rPr>
          <w:rFonts w:cs="Times New Roman"/>
          <w:sz w:val="28"/>
          <w:szCs w:val="28"/>
        </w:rPr>
        <w:t xml:space="preserve"> конструктивних елементів трактора, так і впливають на комфорт та стан оператора [1]. У розрахунках розглядалися поздовжні коливання, при цьому рухи у поперечній площині не враховувалися (рис. 1). Даний трактор має класичну компонувальну схему, без підресорювання заднього моста (рис. 2). Для порівняльного аналізу також використовувалася схема з додатковим підресорюванням заднього моста, наведена на рисунку 3.</w:t>
      </w:r>
    </w:p>
    <w:p w14:paraId="3CE682DA" w14:textId="77777777" w:rsidR="0035230F" w:rsidRPr="0035230F" w:rsidRDefault="0035230F" w:rsidP="0035230F">
      <w:pPr>
        <w:spacing w:line="276" w:lineRule="auto"/>
        <w:jc w:val="both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t xml:space="preserve">Подальше розв’язання системи рівнянь зводиться до пошуку потенційної енергії на відрізку </w:t>
      </w:r>
      <w:r w:rsidRPr="0035230F">
        <w:rPr>
          <w:rFonts w:ascii="Cambria Math" w:hAnsi="Cambria Math" w:cs="Cambria Math"/>
          <w:sz w:val="28"/>
          <w:szCs w:val="28"/>
        </w:rPr>
        <w:t>𝑡</w:t>
      </w:r>
      <w:r w:rsidRPr="0035230F">
        <w:rPr>
          <w:rFonts w:cs="Times New Roman"/>
          <w:sz w:val="28"/>
          <w:szCs w:val="28"/>
        </w:rPr>
        <w:t xml:space="preserve">₂ − </w:t>
      </w:r>
      <w:r w:rsidRPr="0035230F">
        <w:rPr>
          <w:rFonts w:ascii="Cambria Math" w:hAnsi="Cambria Math" w:cs="Cambria Math"/>
          <w:sz w:val="28"/>
          <w:szCs w:val="28"/>
        </w:rPr>
        <w:t>𝑡</w:t>
      </w:r>
      <w:r w:rsidRPr="0035230F">
        <w:rPr>
          <w:rFonts w:cs="Times New Roman"/>
          <w:sz w:val="28"/>
          <w:szCs w:val="28"/>
        </w:rPr>
        <w:t xml:space="preserve">₁. Загальна методика розв’язання ґрунтується на рівнянні </w:t>
      </w:r>
      <w:proofErr w:type="spellStart"/>
      <w:r w:rsidRPr="0035230F">
        <w:rPr>
          <w:rFonts w:cs="Times New Roman"/>
          <w:sz w:val="28"/>
          <w:szCs w:val="28"/>
        </w:rPr>
        <w:t>Даламбера</w:t>
      </w:r>
      <w:proofErr w:type="spellEnd"/>
      <w:r w:rsidRPr="0035230F">
        <w:rPr>
          <w:rFonts w:cs="Times New Roman"/>
          <w:sz w:val="28"/>
          <w:szCs w:val="28"/>
        </w:rPr>
        <w:t xml:space="preserve"> – Лагранжа другого роду. Для знаходження потенційної енергії використаємо принцип Гамільтона:</w:t>
      </w:r>
    </w:p>
    <w:p w14:paraId="7236BBBC" w14:textId="5E2058D6" w:rsidR="0035230F" w:rsidRPr="0035230F" w:rsidRDefault="0035230F" w:rsidP="0035230F">
      <w:pPr>
        <w:spacing w:line="276" w:lineRule="auto"/>
        <w:jc w:val="both"/>
        <w:rPr>
          <w:rFonts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S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nary>
            <m:naryPr>
              <m:limLoc m:val="subSup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t1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t2</m:t>
              </m:r>
            </m:sup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T-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П</m:t>
                  </m:r>
                </m:e>
              </m:d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dt</m:t>
              </m:r>
            </m:e>
          </m:nary>
        </m:oMath>
      </m:oMathPara>
    </w:p>
    <w:p w14:paraId="38CD13A2" w14:textId="77777777" w:rsidR="0035230F" w:rsidRPr="0035230F" w:rsidRDefault="0035230F" w:rsidP="0035230F">
      <w:pPr>
        <w:spacing w:line="276" w:lineRule="auto"/>
        <w:jc w:val="both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t xml:space="preserve">де: T, П – кінетична та потенційна енергії системи, </w:t>
      </w:r>
      <w:proofErr w:type="spellStart"/>
      <w:r w:rsidRPr="0035230F">
        <w:rPr>
          <w:rFonts w:cs="Times New Roman"/>
          <w:sz w:val="28"/>
          <w:szCs w:val="28"/>
        </w:rPr>
        <w:t>Дж</w:t>
      </w:r>
      <w:proofErr w:type="spellEnd"/>
      <w:r w:rsidRPr="0035230F">
        <w:rPr>
          <w:rFonts w:cs="Times New Roman"/>
          <w:sz w:val="28"/>
          <w:szCs w:val="28"/>
        </w:rPr>
        <w:t>.</w:t>
      </w:r>
    </w:p>
    <w:p w14:paraId="2E76FCE7" w14:textId="77777777" w:rsidR="0035230F" w:rsidRPr="0035230F" w:rsidRDefault="0035230F" w:rsidP="0035230F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lastRenderedPageBreak/>
        <w:drawing>
          <wp:inline distT="0" distB="0" distL="0" distR="0" wp14:anchorId="1F982F5C" wp14:editId="2C5DA0E8">
            <wp:extent cx="6120765" cy="3759835"/>
            <wp:effectExtent l="0" t="0" r="0" b="0"/>
            <wp:docPr id="1257074040" name="Рисунок 1" descr="Зображення, що містить ескіз, малюнок, схема, Лінійне мистецтво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7074040" name="Рисунок 1" descr="Зображення, що містить ескіз, малюнок, схема, Лінійне мистецтво&#10;&#10;Вміст на основі ШІ може бути неправильним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0F599" w14:textId="2A41BF3F" w:rsidR="0035230F" w:rsidRDefault="0035230F" w:rsidP="0035230F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t>Рис. 2. Розрахункова схема коливальної системи МЕЗ з непідресореним заднім мостом.</w:t>
      </w:r>
    </w:p>
    <w:p w14:paraId="375299A5" w14:textId="77777777" w:rsidR="0035230F" w:rsidRPr="0035230F" w:rsidRDefault="0035230F" w:rsidP="0035230F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5C6AB397" w14:textId="77777777" w:rsidR="0035230F" w:rsidRPr="0035230F" w:rsidRDefault="0035230F" w:rsidP="0035230F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drawing>
          <wp:inline distT="0" distB="0" distL="0" distR="0" wp14:anchorId="1EF2BEDF" wp14:editId="61913BA3">
            <wp:extent cx="6120765" cy="3632200"/>
            <wp:effectExtent l="0" t="0" r="0" b="6350"/>
            <wp:docPr id="451947667" name="Рисунок 1" descr="Зображення, що містить ескіз, малюнок, схема, Лінійне мистецтво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947667" name="Рисунок 1" descr="Зображення, що містить ескіз, малюнок, схема, Лінійне мистецтво&#10;&#10;Вміст на основі ШІ може бути неправильним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88CDD" w14:textId="76DD2CE6" w:rsidR="0035230F" w:rsidRDefault="0035230F" w:rsidP="0035230F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t>Рис. 3. Розрахункова схема коливальної системи МЕЗ з підресореним заднім мостом</w:t>
      </w:r>
    </w:p>
    <w:p w14:paraId="1E106B38" w14:textId="77777777" w:rsidR="0035230F" w:rsidRPr="0035230F" w:rsidRDefault="0035230F" w:rsidP="0035230F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1FC0A812" w14:textId="77777777" w:rsidR="0035230F" w:rsidRPr="0035230F" w:rsidRDefault="0035230F" w:rsidP="0035230F">
      <w:pPr>
        <w:spacing w:line="276" w:lineRule="auto"/>
        <w:jc w:val="both"/>
        <w:rPr>
          <w:rFonts w:cs="Times New Roman"/>
          <w:sz w:val="28"/>
          <w:szCs w:val="28"/>
        </w:rPr>
      </w:pPr>
      <w:r w:rsidRPr="0035230F">
        <w:rPr>
          <w:rFonts w:cs="Times New Roman"/>
          <w:sz w:val="28"/>
          <w:szCs w:val="28"/>
        </w:rPr>
        <w:t xml:space="preserve">До розрахункової схеми входять такі параметри: </w:t>
      </w:r>
      <w:r w:rsidRPr="0035230F">
        <w:rPr>
          <w:rFonts w:ascii="Cambria Math" w:hAnsi="Cambria Math" w:cs="Cambria Math"/>
          <w:sz w:val="28"/>
          <w:szCs w:val="28"/>
        </w:rPr>
        <w:t>𝑚</w:t>
      </w:r>
      <w:r w:rsidRPr="0035230F">
        <w:rPr>
          <w:rFonts w:cs="Times New Roman"/>
          <w:sz w:val="28"/>
          <w:szCs w:val="28"/>
        </w:rPr>
        <w:t xml:space="preserve">₁ – маса переднього моста; </w:t>
      </w:r>
      <w:r w:rsidRPr="0035230F">
        <w:rPr>
          <w:rFonts w:ascii="Cambria Math" w:hAnsi="Cambria Math" w:cs="Cambria Math"/>
          <w:sz w:val="28"/>
          <w:szCs w:val="28"/>
        </w:rPr>
        <w:t>𝑚</w:t>
      </w:r>
      <w:r w:rsidRPr="0035230F">
        <w:rPr>
          <w:rFonts w:cs="Times New Roman"/>
          <w:sz w:val="28"/>
          <w:szCs w:val="28"/>
        </w:rPr>
        <w:t xml:space="preserve">₂ – маса заднього моста; </w:t>
      </w:r>
      <w:r w:rsidRPr="0035230F">
        <w:rPr>
          <w:rFonts w:ascii="Cambria Math" w:hAnsi="Cambria Math" w:cs="Cambria Math"/>
          <w:sz w:val="28"/>
          <w:szCs w:val="28"/>
        </w:rPr>
        <w:t>𝑚</w:t>
      </w:r>
      <w:r w:rsidRPr="0035230F">
        <w:rPr>
          <w:rFonts w:cs="Times New Roman"/>
          <w:sz w:val="28"/>
          <w:szCs w:val="28"/>
        </w:rPr>
        <w:t xml:space="preserve">₃ – маса остова; </w:t>
      </w:r>
      <w:r w:rsidRPr="0035230F">
        <w:rPr>
          <w:rFonts w:ascii="Cambria Math" w:hAnsi="Cambria Math" w:cs="Cambria Math"/>
          <w:sz w:val="28"/>
          <w:szCs w:val="28"/>
        </w:rPr>
        <w:t>𝑚</w:t>
      </w:r>
      <w:r w:rsidRPr="0035230F">
        <w:rPr>
          <w:rFonts w:cs="Times New Roman"/>
          <w:sz w:val="28"/>
          <w:szCs w:val="28"/>
        </w:rPr>
        <w:t xml:space="preserve">₄ – маса кабіни; </w:t>
      </w:r>
      <w:r w:rsidRPr="0035230F">
        <w:rPr>
          <w:rFonts w:ascii="Cambria Math" w:hAnsi="Cambria Math" w:cs="Cambria Math"/>
          <w:sz w:val="28"/>
          <w:szCs w:val="28"/>
        </w:rPr>
        <w:t>𝑚</w:t>
      </w:r>
      <w:r w:rsidRPr="0035230F">
        <w:rPr>
          <w:rFonts w:cs="Times New Roman"/>
          <w:sz w:val="28"/>
          <w:szCs w:val="28"/>
        </w:rPr>
        <w:t xml:space="preserve">₅ – маса навісного обладнання; </w:t>
      </w:r>
      <w:r w:rsidRPr="0035230F">
        <w:rPr>
          <w:rFonts w:ascii="Cambria Math" w:hAnsi="Cambria Math" w:cs="Cambria Math"/>
          <w:sz w:val="28"/>
          <w:szCs w:val="28"/>
        </w:rPr>
        <w:t>𝐺</w:t>
      </w:r>
      <w:r w:rsidRPr="0035230F">
        <w:rPr>
          <w:rFonts w:cs="Times New Roman"/>
          <w:sz w:val="28"/>
          <w:szCs w:val="28"/>
        </w:rPr>
        <w:t xml:space="preserve">₁ – вага переднього моста; </w:t>
      </w:r>
      <w:r w:rsidRPr="0035230F">
        <w:rPr>
          <w:rFonts w:ascii="Cambria Math" w:hAnsi="Cambria Math" w:cs="Cambria Math"/>
          <w:sz w:val="28"/>
          <w:szCs w:val="28"/>
        </w:rPr>
        <w:t>𝐺</w:t>
      </w:r>
      <w:r w:rsidRPr="0035230F">
        <w:rPr>
          <w:rFonts w:cs="Times New Roman"/>
          <w:sz w:val="28"/>
          <w:szCs w:val="28"/>
        </w:rPr>
        <w:t xml:space="preserve">₂ – вага заднього моста; </w:t>
      </w:r>
      <w:r w:rsidRPr="0035230F">
        <w:rPr>
          <w:rFonts w:ascii="Cambria Math" w:hAnsi="Cambria Math" w:cs="Cambria Math"/>
          <w:sz w:val="28"/>
          <w:szCs w:val="28"/>
        </w:rPr>
        <w:t>𝐺</w:t>
      </w:r>
      <w:r w:rsidRPr="0035230F">
        <w:rPr>
          <w:rFonts w:cs="Times New Roman"/>
          <w:sz w:val="28"/>
          <w:szCs w:val="28"/>
        </w:rPr>
        <w:t xml:space="preserve">₃ – </w:t>
      </w:r>
      <w:r w:rsidRPr="0035230F">
        <w:rPr>
          <w:rFonts w:cs="Times New Roman"/>
          <w:sz w:val="28"/>
          <w:szCs w:val="28"/>
        </w:rPr>
        <w:lastRenderedPageBreak/>
        <w:t xml:space="preserve">вага остова; </w:t>
      </w:r>
      <w:r w:rsidRPr="0035230F">
        <w:rPr>
          <w:rFonts w:ascii="Cambria Math" w:hAnsi="Cambria Math" w:cs="Cambria Math"/>
          <w:sz w:val="28"/>
          <w:szCs w:val="28"/>
        </w:rPr>
        <w:t>𝐺</w:t>
      </w:r>
      <w:r w:rsidRPr="0035230F">
        <w:rPr>
          <w:rFonts w:cs="Times New Roman"/>
          <w:sz w:val="28"/>
          <w:szCs w:val="28"/>
        </w:rPr>
        <w:t xml:space="preserve">₄ – вага кабіни; </w:t>
      </w:r>
      <w:r w:rsidRPr="0035230F">
        <w:rPr>
          <w:rFonts w:ascii="Cambria Math" w:hAnsi="Cambria Math" w:cs="Cambria Math"/>
          <w:sz w:val="28"/>
          <w:szCs w:val="28"/>
        </w:rPr>
        <w:t>𝐺</w:t>
      </w:r>
      <w:r w:rsidRPr="0035230F">
        <w:rPr>
          <w:rFonts w:cs="Times New Roman"/>
          <w:sz w:val="28"/>
          <w:szCs w:val="28"/>
        </w:rPr>
        <w:t xml:space="preserve">₅ – вага навісного обладнання; </w:t>
      </w:r>
      <w:r w:rsidRPr="0035230F">
        <w:rPr>
          <w:rFonts w:ascii="Cambria Math" w:hAnsi="Cambria Math" w:cs="Cambria Math"/>
          <w:sz w:val="28"/>
          <w:szCs w:val="28"/>
        </w:rPr>
        <w:t>𝑍</w:t>
      </w:r>
      <w:r w:rsidRPr="0035230F">
        <w:rPr>
          <w:rFonts w:cs="Times New Roman"/>
          <w:sz w:val="28"/>
          <w:szCs w:val="28"/>
        </w:rPr>
        <w:t xml:space="preserve">̈₁ – вертикальне переміщення точки переднього моста; </w:t>
      </w:r>
      <w:r w:rsidRPr="0035230F">
        <w:rPr>
          <w:rFonts w:ascii="Cambria Math" w:hAnsi="Cambria Math" w:cs="Cambria Math"/>
          <w:sz w:val="28"/>
          <w:szCs w:val="28"/>
        </w:rPr>
        <w:t>𝑍</w:t>
      </w:r>
      <w:r w:rsidRPr="0035230F">
        <w:rPr>
          <w:rFonts w:cs="Times New Roman"/>
          <w:sz w:val="28"/>
          <w:szCs w:val="28"/>
        </w:rPr>
        <w:t xml:space="preserve">̈₂ – вертикальне переміщення точки заднього моста; </w:t>
      </w:r>
      <w:r w:rsidRPr="0035230F">
        <w:rPr>
          <w:rFonts w:ascii="Cambria Math" w:hAnsi="Cambria Math" w:cs="Cambria Math"/>
          <w:sz w:val="28"/>
          <w:szCs w:val="28"/>
        </w:rPr>
        <w:t>𝑍</w:t>
      </w:r>
      <w:r w:rsidRPr="0035230F">
        <w:rPr>
          <w:rFonts w:cs="Times New Roman"/>
          <w:sz w:val="28"/>
          <w:szCs w:val="28"/>
        </w:rPr>
        <w:t xml:space="preserve">̈₃ – вертикальне переміщення остова; </w:t>
      </w:r>
      <w:r w:rsidRPr="0035230F">
        <w:rPr>
          <w:rFonts w:ascii="Cambria Math" w:hAnsi="Cambria Math" w:cs="Cambria Math"/>
          <w:sz w:val="28"/>
          <w:szCs w:val="28"/>
        </w:rPr>
        <w:t>𝑍</w:t>
      </w:r>
      <w:r w:rsidRPr="0035230F">
        <w:rPr>
          <w:rFonts w:cs="Times New Roman"/>
          <w:sz w:val="28"/>
          <w:szCs w:val="28"/>
        </w:rPr>
        <w:t xml:space="preserve">̈₄ – вертикальне переміщення кабіни; </w:t>
      </w:r>
      <w:r w:rsidRPr="0035230F">
        <w:rPr>
          <w:rFonts w:ascii="Cambria Math" w:hAnsi="Cambria Math" w:cs="Cambria Math"/>
          <w:sz w:val="28"/>
          <w:szCs w:val="28"/>
        </w:rPr>
        <w:t>𝑍</w:t>
      </w:r>
      <w:r w:rsidRPr="0035230F">
        <w:rPr>
          <w:rFonts w:cs="Times New Roman"/>
          <w:sz w:val="28"/>
          <w:szCs w:val="28"/>
        </w:rPr>
        <w:t xml:space="preserve">̈₅ – вертикальне переміщення навісного обладнання; </w:t>
      </w:r>
      <w:r w:rsidRPr="0035230F">
        <w:rPr>
          <w:rFonts w:ascii="Cambria Math" w:hAnsi="Cambria Math" w:cs="Cambria Math"/>
          <w:sz w:val="28"/>
          <w:szCs w:val="28"/>
        </w:rPr>
        <w:t>𝐹</w:t>
      </w:r>
      <w:r w:rsidRPr="0035230F">
        <w:rPr>
          <w:rFonts w:cs="Times New Roman"/>
          <w:sz w:val="28"/>
          <w:szCs w:val="28"/>
          <w:vertAlign w:val="subscript"/>
        </w:rPr>
        <w:t>ш1</w:t>
      </w:r>
      <w:r w:rsidRPr="0035230F">
        <w:rPr>
          <w:rFonts w:cs="Times New Roman"/>
          <w:sz w:val="28"/>
          <w:szCs w:val="28"/>
        </w:rPr>
        <w:t xml:space="preserve"> – зусилля, що виникає в місці контакту переднього колеса з опорною поверхнею; </w:t>
      </w:r>
      <w:r w:rsidRPr="0035230F">
        <w:rPr>
          <w:rFonts w:ascii="Cambria Math" w:hAnsi="Cambria Math" w:cs="Cambria Math"/>
          <w:sz w:val="28"/>
          <w:szCs w:val="28"/>
        </w:rPr>
        <w:t>𝐹</w:t>
      </w:r>
      <w:r w:rsidRPr="0035230F">
        <w:rPr>
          <w:rFonts w:cs="Times New Roman"/>
          <w:sz w:val="28"/>
          <w:szCs w:val="28"/>
          <w:vertAlign w:val="subscript"/>
        </w:rPr>
        <w:t>ш2</w:t>
      </w:r>
      <w:r w:rsidRPr="0035230F">
        <w:rPr>
          <w:rFonts w:cs="Times New Roman"/>
          <w:sz w:val="28"/>
          <w:szCs w:val="28"/>
        </w:rPr>
        <w:t xml:space="preserve"> – зусилля, що виникає в місці контакту заднього колеса з опорною поверхнею; </w:t>
      </w:r>
      <w:r w:rsidRPr="0035230F">
        <w:rPr>
          <w:rFonts w:ascii="Cambria Math" w:hAnsi="Cambria Math" w:cs="Cambria Math"/>
          <w:sz w:val="28"/>
          <w:szCs w:val="28"/>
        </w:rPr>
        <w:t>𝐹</w:t>
      </w:r>
      <w:r w:rsidRPr="0035230F">
        <w:rPr>
          <w:rFonts w:cs="Times New Roman"/>
          <w:sz w:val="28"/>
          <w:szCs w:val="28"/>
          <w:vertAlign w:val="subscript"/>
        </w:rPr>
        <w:t>п1</w:t>
      </w:r>
      <w:r w:rsidRPr="0035230F">
        <w:rPr>
          <w:rFonts w:cs="Times New Roman"/>
          <w:sz w:val="28"/>
          <w:szCs w:val="28"/>
        </w:rPr>
        <w:t xml:space="preserve"> – зусилля, що виникає у передній підвісці; </w:t>
      </w:r>
      <w:r w:rsidRPr="0035230F">
        <w:rPr>
          <w:rFonts w:ascii="Cambria Math" w:hAnsi="Cambria Math" w:cs="Cambria Math"/>
          <w:sz w:val="28"/>
          <w:szCs w:val="28"/>
        </w:rPr>
        <w:t>𝐹</w:t>
      </w:r>
      <w:r w:rsidRPr="0035230F">
        <w:rPr>
          <w:rFonts w:cs="Times New Roman"/>
          <w:sz w:val="28"/>
          <w:szCs w:val="28"/>
          <w:vertAlign w:val="subscript"/>
        </w:rPr>
        <w:t>п2</w:t>
      </w:r>
      <w:r w:rsidRPr="0035230F">
        <w:rPr>
          <w:rFonts w:cs="Times New Roman"/>
          <w:sz w:val="28"/>
          <w:szCs w:val="28"/>
        </w:rPr>
        <w:t xml:space="preserve"> – зусилля, що виникає у задній підвісці; </w:t>
      </w:r>
      <w:r w:rsidRPr="0035230F">
        <w:rPr>
          <w:rFonts w:ascii="Cambria Math" w:hAnsi="Cambria Math" w:cs="Cambria Math"/>
          <w:sz w:val="28"/>
          <w:szCs w:val="28"/>
        </w:rPr>
        <w:t>𝐹</w:t>
      </w:r>
      <w:r w:rsidRPr="0035230F">
        <w:rPr>
          <w:rFonts w:cs="Times New Roman"/>
          <w:sz w:val="28"/>
          <w:szCs w:val="28"/>
          <w:vertAlign w:val="subscript"/>
        </w:rPr>
        <w:t>к4</w:t>
      </w:r>
      <w:r w:rsidRPr="0035230F">
        <w:rPr>
          <w:rFonts w:cs="Times New Roman"/>
          <w:sz w:val="28"/>
          <w:szCs w:val="28"/>
        </w:rPr>
        <w:t xml:space="preserve"> – зусилля, що виникає у місці встановлення кабіни; </w:t>
      </w:r>
      <w:r w:rsidRPr="0035230F">
        <w:rPr>
          <w:rFonts w:ascii="Cambria Math" w:hAnsi="Cambria Math" w:cs="Cambria Math"/>
          <w:sz w:val="28"/>
          <w:szCs w:val="28"/>
        </w:rPr>
        <w:t>𝐹</w:t>
      </w:r>
      <w:r w:rsidRPr="0035230F">
        <w:rPr>
          <w:rFonts w:cs="Times New Roman"/>
          <w:sz w:val="28"/>
          <w:szCs w:val="28"/>
          <w:vertAlign w:val="subscript"/>
        </w:rPr>
        <w:t>но5</w:t>
      </w:r>
      <w:r w:rsidRPr="0035230F">
        <w:rPr>
          <w:rFonts w:cs="Times New Roman"/>
          <w:sz w:val="28"/>
          <w:szCs w:val="28"/>
        </w:rPr>
        <w:t xml:space="preserve"> – зусилля, що виникає в системі навісного технологічного обладнання; </w:t>
      </w:r>
      <w:r w:rsidRPr="0035230F">
        <w:rPr>
          <w:rFonts w:ascii="Cambria Math" w:hAnsi="Cambria Math" w:cs="Cambria Math"/>
          <w:sz w:val="28"/>
          <w:szCs w:val="28"/>
        </w:rPr>
        <w:t>𝐶</w:t>
      </w:r>
      <w:r w:rsidRPr="0035230F">
        <w:rPr>
          <w:rFonts w:cs="Times New Roman"/>
          <w:sz w:val="28"/>
          <w:szCs w:val="28"/>
          <w:vertAlign w:val="subscript"/>
        </w:rPr>
        <w:t>ш1</w:t>
      </w:r>
      <w:r w:rsidRPr="0035230F">
        <w:rPr>
          <w:rFonts w:cs="Times New Roman"/>
          <w:sz w:val="28"/>
          <w:szCs w:val="28"/>
        </w:rPr>
        <w:t xml:space="preserve"> – радіальна жорсткість передньої шини; </w:t>
      </w:r>
      <w:r w:rsidRPr="0035230F">
        <w:rPr>
          <w:rFonts w:ascii="Cambria Math" w:hAnsi="Cambria Math" w:cs="Cambria Math"/>
          <w:sz w:val="28"/>
          <w:szCs w:val="28"/>
        </w:rPr>
        <w:t>𝐶</w:t>
      </w:r>
      <w:r w:rsidRPr="0035230F">
        <w:rPr>
          <w:rFonts w:cs="Times New Roman"/>
          <w:sz w:val="28"/>
          <w:szCs w:val="28"/>
          <w:vertAlign w:val="subscript"/>
        </w:rPr>
        <w:t>ш2</w:t>
      </w:r>
      <w:r w:rsidRPr="0035230F">
        <w:rPr>
          <w:rFonts w:cs="Times New Roman"/>
          <w:sz w:val="28"/>
          <w:szCs w:val="28"/>
        </w:rPr>
        <w:t xml:space="preserve"> – радіальна жорсткість задньої шини; </w:t>
      </w:r>
      <w:r w:rsidRPr="0035230F">
        <w:rPr>
          <w:rFonts w:ascii="Cambria Math" w:hAnsi="Cambria Math" w:cs="Cambria Math"/>
          <w:sz w:val="28"/>
          <w:szCs w:val="28"/>
        </w:rPr>
        <w:t>𝐶</w:t>
      </w:r>
      <w:r w:rsidRPr="0035230F">
        <w:rPr>
          <w:rFonts w:cs="Times New Roman"/>
          <w:sz w:val="28"/>
          <w:szCs w:val="28"/>
          <w:vertAlign w:val="subscript"/>
        </w:rPr>
        <w:t>п1</w:t>
      </w:r>
      <w:r w:rsidRPr="0035230F">
        <w:rPr>
          <w:rFonts w:cs="Times New Roman"/>
          <w:sz w:val="28"/>
          <w:szCs w:val="28"/>
        </w:rPr>
        <w:t xml:space="preserve"> – жорсткість передньої підвіски; </w:t>
      </w:r>
      <w:r w:rsidRPr="0035230F">
        <w:rPr>
          <w:rFonts w:ascii="Cambria Math" w:hAnsi="Cambria Math" w:cs="Cambria Math"/>
          <w:sz w:val="28"/>
          <w:szCs w:val="28"/>
        </w:rPr>
        <w:t>𝐶</w:t>
      </w:r>
      <w:r w:rsidRPr="0035230F">
        <w:rPr>
          <w:rFonts w:cs="Times New Roman"/>
          <w:sz w:val="28"/>
          <w:szCs w:val="28"/>
        </w:rPr>
        <w:t>п</w:t>
      </w:r>
      <w:r w:rsidRPr="0035230F">
        <w:rPr>
          <w:rFonts w:cs="Times New Roman"/>
          <w:sz w:val="28"/>
          <w:szCs w:val="28"/>
          <w:vertAlign w:val="subscript"/>
        </w:rPr>
        <w:t>2</w:t>
      </w:r>
      <w:r w:rsidRPr="0035230F">
        <w:rPr>
          <w:rFonts w:cs="Times New Roman"/>
          <w:sz w:val="28"/>
          <w:szCs w:val="28"/>
        </w:rPr>
        <w:t xml:space="preserve"> – жорсткість задньої підвіски; </w:t>
      </w:r>
      <w:r w:rsidRPr="0035230F">
        <w:rPr>
          <w:rFonts w:ascii="Cambria Math" w:hAnsi="Cambria Math" w:cs="Cambria Math"/>
          <w:sz w:val="28"/>
          <w:szCs w:val="28"/>
        </w:rPr>
        <w:t>𝐶</w:t>
      </w:r>
      <w:r w:rsidRPr="0035230F">
        <w:rPr>
          <w:rFonts w:cs="Times New Roman"/>
          <w:sz w:val="28"/>
          <w:szCs w:val="28"/>
        </w:rPr>
        <w:t>к</w:t>
      </w:r>
      <w:r w:rsidRPr="0035230F">
        <w:rPr>
          <w:rFonts w:cs="Times New Roman"/>
          <w:sz w:val="28"/>
          <w:szCs w:val="28"/>
          <w:vertAlign w:val="subscript"/>
        </w:rPr>
        <w:t>4</w:t>
      </w:r>
      <w:r w:rsidRPr="0035230F">
        <w:rPr>
          <w:rFonts w:cs="Times New Roman"/>
          <w:sz w:val="28"/>
          <w:szCs w:val="28"/>
        </w:rPr>
        <w:t xml:space="preserve"> – жорсткість системи підресорювання кабіни; </w:t>
      </w:r>
      <w:r w:rsidRPr="0035230F">
        <w:rPr>
          <w:rFonts w:ascii="Cambria Math" w:hAnsi="Cambria Math" w:cs="Cambria Math"/>
          <w:sz w:val="28"/>
          <w:szCs w:val="28"/>
        </w:rPr>
        <w:t>𝐶</w:t>
      </w:r>
      <w:r w:rsidRPr="0035230F">
        <w:rPr>
          <w:rFonts w:cs="Times New Roman"/>
          <w:sz w:val="28"/>
          <w:szCs w:val="28"/>
        </w:rPr>
        <w:t>к</w:t>
      </w:r>
      <w:r w:rsidRPr="0035230F">
        <w:rPr>
          <w:rFonts w:cs="Times New Roman"/>
          <w:sz w:val="28"/>
          <w:szCs w:val="28"/>
          <w:vertAlign w:val="subscript"/>
        </w:rPr>
        <w:t>5</w:t>
      </w:r>
      <w:r w:rsidRPr="0035230F">
        <w:rPr>
          <w:rFonts w:cs="Times New Roman"/>
          <w:sz w:val="28"/>
          <w:szCs w:val="28"/>
        </w:rPr>
        <w:t xml:space="preserve"> – жорсткість навісного обладнання; </w:t>
      </w:r>
      <w:r w:rsidRPr="0035230F">
        <w:rPr>
          <w:rFonts w:ascii="Cambria Math" w:hAnsi="Cambria Math" w:cs="Cambria Math"/>
          <w:sz w:val="28"/>
          <w:szCs w:val="28"/>
        </w:rPr>
        <w:t>𝛿</w:t>
      </w:r>
      <w:r w:rsidRPr="0035230F">
        <w:rPr>
          <w:rFonts w:cs="Times New Roman"/>
          <w:sz w:val="28"/>
          <w:szCs w:val="28"/>
        </w:rPr>
        <w:t xml:space="preserve">₁ – частка ваги, що згідно з процентним розподілом МЕС припадає на передній міст; </w:t>
      </w:r>
      <w:r w:rsidRPr="0035230F">
        <w:rPr>
          <w:rFonts w:ascii="Cambria Math" w:hAnsi="Cambria Math" w:cs="Cambria Math"/>
          <w:sz w:val="28"/>
          <w:szCs w:val="28"/>
        </w:rPr>
        <w:t>𝛿</w:t>
      </w:r>
      <w:r w:rsidRPr="0035230F">
        <w:rPr>
          <w:rFonts w:cs="Times New Roman"/>
          <w:sz w:val="28"/>
          <w:szCs w:val="28"/>
        </w:rPr>
        <w:t xml:space="preserve">₂ – частка ваги, що згідно з процентним розподілом МЕС припадає на задній міст; </w:t>
      </w:r>
      <w:r w:rsidRPr="0035230F">
        <w:rPr>
          <w:rFonts w:ascii="Cambria Math" w:hAnsi="Cambria Math" w:cs="Cambria Math"/>
          <w:sz w:val="28"/>
          <w:szCs w:val="28"/>
        </w:rPr>
        <w:t>𝑎</w:t>
      </w:r>
      <w:r w:rsidRPr="0035230F">
        <w:rPr>
          <w:rFonts w:cs="Times New Roman"/>
          <w:sz w:val="28"/>
          <w:szCs w:val="28"/>
        </w:rPr>
        <w:t xml:space="preserve"> – відстань від центра мас МЕЗ до передньої осі; </w:t>
      </w:r>
      <w:r w:rsidRPr="0035230F">
        <w:rPr>
          <w:rFonts w:ascii="Cambria Math" w:hAnsi="Cambria Math" w:cs="Cambria Math"/>
          <w:sz w:val="28"/>
          <w:szCs w:val="28"/>
        </w:rPr>
        <w:t>𝑏</w:t>
      </w:r>
      <w:r w:rsidRPr="0035230F">
        <w:rPr>
          <w:rFonts w:cs="Times New Roman"/>
          <w:sz w:val="28"/>
          <w:szCs w:val="28"/>
        </w:rPr>
        <w:t xml:space="preserve"> – відстань від центра мас МЕЗ до задньої осі; </w:t>
      </w:r>
      <w:r w:rsidRPr="0035230F">
        <w:rPr>
          <w:rFonts w:ascii="Cambria Math" w:hAnsi="Cambria Math" w:cs="Cambria Math"/>
          <w:sz w:val="28"/>
          <w:szCs w:val="28"/>
        </w:rPr>
        <w:t>𝑙𝑐</w:t>
      </w:r>
      <w:r w:rsidRPr="0035230F">
        <w:rPr>
          <w:rFonts w:cs="Times New Roman"/>
          <w:sz w:val="28"/>
          <w:szCs w:val="28"/>
        </w:rPr>
        <w:t xml:space="preserve"> – відстань від вузла кріплення системи підресорювання переднього моста до остова; </w:t>
      </w:r>
      <w:r w:rsidRPr="0035230F">
        <w:rPr>
          <w:rFonts w:ascii="Cambria Math" w:hAnsi="Cambria Math" w:cs="Cambria Math"/>
          <w:sz w:val="28"/>
          <w:szCs w:val="28"/>
        </w:rPr>
        <w:t>𝑙</w:t>
      </w:r>
      <w:r w:rsidRPr="0035230F">
        <w:rPr>
          <w:rFonts w:ascii="Cambria Math" w:hAnsi="Cambria Math" w:cs="Cambria Math"/>
          <w:sz w:val="28"/>
          <w:szCs w:val="28"/>
          <w:vertAlign w:val="subscript"/>
        </w:rPr>
        <w:t>𝐷</w:t>
      </w:r>
      <w:r w:rsidRPr="0035230F">
        <w:rPr>
          <w:rFonts w:cs="Times New Roman"/>
          <w:sz w:val="28"/>
          <w:szCs w:val="28"/>
        </w:rPr>
        <w:t xml:space="preserve"> – відстань від вузла кріплення системи підресорювання заднього моста до остова; </w:t>
      </w:r>
      <w:r w:rsidRPr="0035230F">
        <w:rPr>
          <w:rFonts w:ascii="Cambria Math" w:hAnsi="Cambria Math" w:cs="Cambria Math"/>
          <w:sz w:val="28"/>
          <w:szCs w:val="28"/>
        </w:rPr>
        <w:t>𝑙</w:t>
      </w:r>
      <w:r w:rsidRPr="0035230F">
        <w:rPr>
          <w:rFonts w:ascii="Cambria Math" w:hAnsi="Cambria Math" w:cs="Cambria Math"/>
          <w:sz w:val="28"/>
          <w:szCs w:val="28"/>
          <w:vertAlign w:val="subscript"/>
        </w:rPr>
        <w:t>𝐸</w:t>
      </w:r>
      <w:r w:rsidRPr="0035230F">
        <w:rPr>
          <w:rFonts w:cs="Times New Roman"/>
          <w:sz w:val="28"/>
          <w:szCs w:val="28"/>
        </w:rPr>
        <w:t xml:space="preserve"> – відстань від нижньої точки вузла кріплення системи підресорювання кабіни до центра мас МЕС; </w:t>
      </w:r>
      <w:r w:rsidRPr="0035230F">
        <w:rPr>
          <w:rFonts w:ascii="Cambria Math" w:hAnsi="Cambria Math" w:cs="Cambria Math"/>
          <w:sz w:val="28"/>
          <w:szCs w:val="28"/>
        </w:rPr>
        <w:t>𝑙</w:t>
      </w:r>
      <w:r w:rsidRPr="0035230F">
        <w:rPr>
          <w:rFonts w:ascii="Cambria Math" w:hAnsi="Cambria Math" w:cs="Cambria Math"/>
          <w:sz w:val="28"/>
          <w:szCs w:val="28"/>
          <w:vertAlign w:val="subscript"/>
        </w:rPr>
        <w:t>𝑁</w:t>
      </w:r>
      <w:r w:rsidRPr="0035230F">
        <w:rPr>
          <w:rFonts w:cs="Times New Roman"/>
          <w:sz w:val="28"/>
          <w:szCs w:val="28"/>
        </w:rPr>
        <w:t xml:space="preserve"> – відстань від центра мас знаряддя до центра мас МЕЗ (нижня точка кріплення); </w:t>
      </w:r>
      <w:r w:rsidRPr="0035230F">
        <w:rPr>
          <w:rFonts w:ascii="Cambria Math" w:hAnsi="Cambria Math" w:cs="Cambria Math"/>
          <w:sz w:val="28"/>
          <w:szCs w:val="28"/>
        </w:rPr>
        <w:t>𝑙</w:t>
      </w:r>
      <w:r w:rsidRPr="0035230F">
        <w:rPr>
          <w:rFonts w:cs="Times New Roman"/>
          <w:sz w:val="28"/>
          <w:szCs w:val="28"/>
        </w:rPr>
        <w:t xml:space="preserve">₅ – відстань від центра мас знаряддя до центра мас МЕЗ; </w:t>
      </w:r>
      <w:r w:rsidRPr="0035230F">
        <w:rPr>
          <w:rFonts w:ascii="Cambria Math" w:hAnsi="Cambria Math" w:cs="Cambria Math"/>
          <w:sz w:val="28"/>
          <w:szCs w:val="28"/>
        </w:rPr>
        <w:t>𝑙</w:t>
      </w:r>
      <w:r w:rsidRPr="0035230F">
        <w:rPr>
          <w:rFonts w:cs="Times New Roman"/>
          <w:sz w:val="28"/>
          <w:szCs w:val="28"/>
        </w:rPr>
        <w:t xml:space="preserve">₁ – база МЕЗ; </w:t>
      </w:r>
      <w:r w:rsidRPr="0035230F">
        <w:rPr>
          <w:rFonts w:ascii="Cambria Math" w:hAnsi="Cambria Math" w:cs="Cambria Math"/>
          <w:sz w:val="28"/>
          <w:szCs w:val="28"/>
        </w:rPr>
        <w:t>𝑟</w:t>
      </w:r>
      <w:proofErr w:type="spellStart"/>
      <w:r w:rsidRPr="0035230F">
        <w:rPr>
          <w:rFonts w:cs="Times New Roman"/>
          <w:sz w:val="28"/>
          <w:szCs w:val="28"/>
          <w:vertAlign w:val="subscript"/>
        </w:rPr>
        <w:t>стп</w:t>
      </w:r>
      <w:proofErr w:type="spellEnd"/>
      <w:r w:rsidRPr="0035230F">
        <w:rPr>
          <w:rFonts w:cs="Times New Roman"/>
          <w:sz w:val="28"/>
          <w:szCs w:val="28"/>
        </w:rPr>
        <w:t xml:space="preserve"> – статичний радіус переднього колеса; </w:t>
      </w:r>
      <w:r w:rsidRPr="0035230F">
        <w:rPr>
          <w:rFonts w:ascii="Cambria Math" w:hAnsi="Cambria Math" w:cs="Cambria Math"/>
          <w:sz w:val="28"/>
          <w:szCs w:val="28"/>
        </w:rPr>
        <w:t>𝑟</w:t>
      </w:r>
      <w:proofErr w:type="spellStart"/>
      <w:r w:rsidRPr="0035230F">
        <w:rPr>
          <w:rFonts w:cs="Times New Roman"/>
          <w:sz w:val="28"/>
          <w:szCs w:val="28"/>
          <w:vertAlign w:val="subscript"/>
        </w:rPr>
        <w:t>стз</w:t>
      </w:r>
      <w:proofErr w:type="spellEnd"/>
      <w:r w:rsidRPr="0035230F">
        <w:rPr>
          <w:rFonts w:cs="Times New Roman"/>
          <w:sz w:val="28"/>
          <w:szCs w:val="28"/>
        </w:rPr>
        <w:t xml:space="preserve"> – статичний радіус заднього колеса.</w:t>
      </w:r>
    </w:p>
    <w:p w14:paraId="3CFC6D57" w14:textId="77777777" w:rsidR="0035230F" w:rsidRPr="0035230F" w:rsidRDefault="0035230F" w:rsidP="0035230F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3AFB824A" w14:textId="77777777" w:rsidR="0035230F" w:rsidRPr="0035230F" w:rsidRDefault="0035230F" w:rsidP="0035230F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  <w:r w:rsidRPr="0035230F">
        <w:rPr>
          <w:rFonts w:cs="Times New Roman"/>
          <w:b/>
          <w:sz w:val="28"/>
          <w:szCs w:val="28"/>
        </w:rPr>
        <w:t>Список використаних джерел</w:t>
      </w:r>
    </w:p>
    <w:p w14:paraId="5DC228FF" w14:textId="165C47F6" w:rsidR="0035230F" w:rsidRPr="0035230F" w:rsidRDefault="0035230F" w:rsidP="0035230F">
      <w:pPr>
        <w:numPr>
          <w:ilvl w:val="0"/>
          <w:numId w:val="4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proofErr w:type="spellStart"/>
      <w:r w:rsidRPr="0035230F">
        <w:rPr>
          <w:rFonts w:cs="Times New Roman"/>
          <w:sz w:val="28"/>
          <w:szCs w:val="28"/>
        </w:rPr>
        <w:t>Melzi</w:t>
      </w:r>
      <w:proofErr w:type="spellEnd"/>
      <w:r w:rsidRPr="0035230F">
        <w:rPr>
          <w:rFonts w:cs="Times New Roman"/>
          <w:sz w:val="28"/>
          <w:szCs w:val="28"/>
        </w:rPr>
        <w:t xml:space="preserve"> S., </w:t>
      </w:r>
      <w:proofErr w:type="spellStart"/>
      <w:r w:rsidRPr="0035230F">
        <w:rPr>
          <w:rFonts w:cs="Times New Roman"/>
          <w:sz w:val="28"/>
          <w:szCs w:val="28"/>
        </w:rPr>
        <w:t>Negrini</w:t>
      </w:r>
      <w:proofErr w:type="spellEnd"/>
      <w:r w:rsidRPr="0035230F">
        <w:rPr>
          <w:rFonts w:cs="Times New Roman"/>
          <w:sz w:val="28"/>
          <w:szCs w:val="28"/>
        </w:rPr>
        <w:t xml:space="preserve"> S., </w:t>
      </w:r>
      <w:proofErr w:type="spellStart"/>
      <w:r w:rsidRPr="0035230F">
        <w:rPr>
          <w:rFonts w:cs="Times New Roman"/>
          <w:sz w:val="28"/>
          <w:szCs w:val="28"/>
        </w:rPr>
        <w:t>Sabbioni</w:t>
      </w:r>
      <w:proofErr w:type="spellEnd"/>
      <w:r w:rsidRPr="0035230F">
        <w:rPr>
          <w:rFonts w:cs="Times New Roman"/>
          <w:sz w:val="28"/>
          <w:szCs w:val="28"/>
          <w:lang w:val="uk"/>
        </w:rPr>
        <w:t xml:space="preserve"> </w:t>
      </w:r>
      <w:r w:rsidRPr="0035230F">
        <w:rPr>
          <w:rFonts w:cs="Times New Roman"/>
          <w:sz w:val="28"/>
          <w:szCs w:val="28"/>
        </w:rPr>
        <w:t xml:space="preserve">E. </w:t>
      </w:r>
      <w:proofErr w:type="spellStart"/>
      <w:r w:rsidRPr="0035230F">
        <w:rPr>
          <w:rFonts w:cs="Times New Roman"/>
          <w:sz w:val="28"/>
          <w:szCs w:val="28"/>
        </w:rPr>
        <w:t>Numerical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analysis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of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the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effect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of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tire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characteristics</w:t>
      </w:r>
      <w:proofErr w:type="spellEnd"/>
      <w:r w:rsidRPr="0035230F">
        <w:rPr>
          <w:rFonts w:cs="Times New Roman"/>
          <w:sz w:val="28"/>
          <w:szCs w:val="28"/>
        </w:rPr>
        <w:t xml:space="preserve">, </w:t>
      </w:r>
      <w:proofErr w:type="spellStart"/>
      <w:r w:rsidRPr="0035230F">
        <w:rPr>
          <w:rFonts w:cs="Times New Roman"/>
          <w:sz w:val="28"/>
          <w:szCs w:val="28"/>
        </w:rPr>
        <w:t>soil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response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and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suspensions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tuning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on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the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comfort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of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an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agricultural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vehicle</w:t>
      </w:r>
      <w:proofErr w:type="spellEnd"/>
      <w:r w:rsidRPr="0035230F">
        <w:rPr>
          <w:rFonts w:cs="Times New Roman"/>
          <w:sz w:val="28"/>
          <w:szCs w:val="28"/>
        </w:rPr>
        <w:t xml:space="preserve">. </w:t>
      </w:r>
      <w:proofErr w:type="spellStart"/>
      <w:r w:rsidRPr="0035230F">
        <w:rPr>
          <w:rFonts w:cs="Times New Roman"/>
          <w:sz w:val="28"/>
          <w:szCs w:val="28"/>
        </w:rPr>
        <w:t>Journal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of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Terramechanics</w:t>
      </w:r>
      <w:proofErr w:type="spellEnd"/>
      <w:r w:rsidRPr="0035230F">
        <w:rPr>
          <w:rFonts w:cs="Times New Roman"/>
          <w:sz w:val="28"/>
          <w:szCs w:val="28"/>
        </w:rPr>
        <w:t xml:space="preserve">. </w:t>
      </w:r>
      <w:proofErr w:type="spellStart"/>
      <w:r w:rsidRPr="0035230F">
        <w:rPr>
          <w:rFonts w:cs="Times New Roman"/>
          <w:sz w:val="28"/>
          <w:szCs w:val="28"/>
        </w:rPr>
        <w:t>Vol</w:t>
      </w:r>
      <w:proofErr w:type="spellEnd"/>
      <w:r w:rsidRPr="0035230F">
        <w:rPr>
          <w:rFonts w:cs="Times New Roman"/>
          <w:sz w:val="28"/>
          <w:szCs w:val="28"/>
        </w:rPr>
        <w:t>. 55. 2014, P.17-27. https://doi.org/10.1016/j.jterra.2014.05.001.</w:t>
      </w:r>
    </w:p>
    <w:p w14:paraId="7CABAFDA" w14:textId="77777777" w:rsidR="0035230F" w:rsidRPr="0035230F" w:rsidRDefault="0035230F" w:rsidP="0035230F">
      <w:pPr>
        <w:numPr>
          <w:ilvl w:val="0"/>
          <w:numId w:val="4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proofErr w:type="spellStart"/>
      <w:r w:rsidRPr="0035230F">
        <w:rPr>
          <w:rFonts w:cs="Times New Roman"/>
          <w:sz w:val="28"/>
          <w:szCs w:val="28"/>
        </w:rPr>
        <w:t>Edwin</w:t>
      </w:r>
      <w:proofErr w:type="spellEnd"/>
      <w:r w:rsidRPr="0035230F">
        <w:rPr>
          <w:rFonts w:cs="Times New Roman"/>
          <w:sz w:val="28"/>
          <w:szCs w:val="28"/>
        </w:rPr>
        <w:t xml:space="preserve"> P., </w:t>
      </w:r>
      <w:proofErr w:type="spellStart"/>
      <w:r w:rsidRPr="0035230F">
        <w:rPr>
          <w:rFonts w:cs="Times New Roman"/>
          <w:sz w:val="28"/>
          <w:szCs w:val="28"/>
        </w:rPr>
        <w:t>Shankar</w:t>
      </w:r>
      <w:proofErr w:type="spellEnd"/>
      <w:r w:rsidRPr="0035230F">
        <w:rPr>
          <w:rFonts w:cs="Times New Roman"/>
          <w:sz w:val="28"/>
          <w:szCs w:val="28"/>
        </w:rPr>
        <w:t xml:space="preserve"> K., </w:t>
      </w:r>
      <w:proofErr w:type="spellStart"/>
      <w:r w:rsidRPr="0035230F">
        <w:rPr>
          <w:rFonts w:cs="Times New Roman"/>
          <w:sz w:val="28"/>
          <w:szCs w:val="28"/>
        </w:rPr>
        <w:t>Kannan</w:t>
      </w:r>
      <w:proofErr w:type="spellEnd"/>
      <w:r w:rsidRPr="0035230F">
        <w:rPr>
          <w:rFonts w:cs="Times New Roman"/>
          <w:sz w:val="28"/>
          <w:szCs w:val="28"/>
        </w:rPr>
        <w:t xml:space="preserve"> K.  </w:t>
      </w:r>
      <w:proofErr w:type="spellStart"/>
      <w:r w:rsidRPr="0035230F">
        <w:rPr>
          <w:rFonts w:cs="Times New Roman"/>
          <w:sz w:val="28"/>
          <w:szCs w:val="28"/>
        </w:rPr>
        <w:t>Soft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soil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track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interaction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modeling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in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single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rigid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body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tracked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vehicle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models</w:t>
      </w:r>
      <w:proofErr w:type="spellEnd"/>
      <w:r w:rsidRPr="0035230F">
        <w:rPr>
          <w:rFonts w:cs="Times New Roman"/>
          <w:sz w:val="28"/>
          <w:szCs w:val="28"/>
        </w:rPr>
        <w:t xml:space="preserve">. </w:t>
      </w:r>
      <w:proofErr w:type="spellStart"/>
      <w:r w:rsidRPr="0035230F">
        <w:rPr>
          <w:rFonts w:cs="Times New Roman"/>
          <w:sz w:val="28"/>
          <w:szCs w:val="28"/>
        </w:rPr>
        <w:t>Journal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of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Terramechanics</w:t>
      </w:r>
      <w:proofErr w:type="spellEnd"/>
      <w:r w:rsidRPr="0035230F">
        <w:rPr>
          <w:rFonts w:cs="Times New Roman"/>
          <w:sz w:val="28"/>
          <w:szCs w:val="28"/>
        </w:rPr>
        <w:t xml:space="preserve">. </w:t>
      </w:r>
      <w:proofErr w:type="spellStart"/>
      <w:r w:rsidRPr="0035230F">
        <w:rPr>
          <w:rFonts w:cs="Times New Roman"/>
          <w:sz w:val="28"/>
          <w:szCs w:val="28"/>
        </w:rPr>
        <w:t>Vol</w:t>
      </w:r>
      <w:proofErr w:type="spellEnd"/>
      <w:r w:rsidRPr="0035230F">
        <w:rPr>
          <w:rFonts w:cs="Times New Roman"/>
          <w:sz w:val="28"/>
          <w:szCs w:val="28"/>
        </w:rPr>
        <w:t>. 77. 2018. P. 1-14.</w:t>
      </w:r>
    </w:p>
    <w:p w14:paraId="618629A4" w14:textId="77777777" w:rsidR="0035230F" w:rsidRPr="0035230F" w:rsidRDefault="0035230F" w:rsidP="0035230F">
      <w:pPr>
        <w:numPr>
          <w:ilvl w:val="0"/>
          <w:numId w:val="4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proofErr w:type="spellStart"/>
      <w:r w:rsidRPr="0035230F">
        <w:rPr>
          <w:rFonts w:cs="Times New Roman"/>
          <w:sz w:val="28"/>
          <w:szCs w:val="28"/>
        </w:rPr>
        <w:t>Madsen</w:t>
      </w:r>
      <w:proofErr w:type="spellEnd"/>
      <w:r w:rsidRPr="0035230F">
        <w:rPr>
          <w:rFonts w:cs="Times New Roman"/>
          <w:sz w:val="28"/>
          <w:szCs w:val="28"/>
        </w:rPr>
        <w:t xml:space="preserve"> J., </w:t>
      </w:r>
      <w:proofErr w:type="spellStart"/>
      <w:r w:rsidRPr="0035230F">
        <w:rPr>
          <w:rFonts w:cs="Times New Roman"/>
          <w:sz w:val="28"/>
          <w:szCs w:val="28"/>
        </w:rPr>
        <w:t>Negrut</w:t>
      </w:r>
      <w:proofErr w:type="spellEnd"/>
      <w:r w:rsidRPr="0035230F">
        <w:rPr>
          <w:rFonts w:cs="Times New Roman"/>
          <w:sz w:val="28"/>
          <w:szCs w:val="28"/>
        </w:rPr>
        <w:t xml:space="preserve"> D. </w:t>
      </w:r>
      <w:proofErr w:type="spellStart"/>
      <w:r w:rsidRPr="0035230F">
        <w:rPr>
          <w:rFonts w:cs="Times New Roman"/>
          <w:sz w:val="28"/>
          <w:szCs w:val="28"/>
        </w:rPr>
        <w:t>Alexander</w:t>
      </w:r>
      <w:proofErr w:type="spellEnd"/>
      <w:r w:rsidRPr="0035230F">
        <w:rPr>
          <w:rFonts w:cs="Times New Roman"/>
          <w:sz w:val="28"/>
          <w:szCs w:val="28"/>
        </w:rPr>
        <w:t xml:space="preserve"> R. A </w:t>
      </w:r>
      <w:proofErr w:type="spellStart"/>
      <w:r w:rsidRPr="0035230F">
        <w:rPr>
          <w:rFonts w:cs="Times New Roman"/>
          <w:sz w:val="28"/>
          <w:szCs w:val="28"/>
        </w:rPr>
        <w:t>Physics-Based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Vehicle</w:t>
      </w:r>
      <w:proofErr w:type="spellEnd"/>
      <w:r w:rsidRPr="0035230F">
        <w:rPr>
          <w:rFonts w:cs="Times New Roman"/>
          <w:sz w:val="28"/>
          <w:szCs w:val="28"/>
        </w:rPr>
        <w:t>/</w:t>
      </w:r>
      <w:proofErr w:type="spellStart"/>
      <w:r w:rsidRPr="0035230F">
        <w:rPr>
          <w:rFonts w:cs="Times New Roman"/>
          <w:sz w:val="28"/>
          <w:szCs w:val="28"/>
        </w:rPr>
        <w:t>Terrain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Interaction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Model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for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Soft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Soil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Off-Road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Vehicle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Simulations</w:t>
      </w:r>
      <w:proofErr w:type="spellEnd"/>
      <w:r w:rsidRPr="0035230F">
        <w:rPr>
          <w:rFonts w:cs="Times New Roman"/>
          <w:sz w:val="28"/>
          <w:szCs w:val="28"/>
        </w:rPr>
        <w:t xml:space="preserve">. SAE </w:t>
      </w:r>
      <w:proofErr w:type="spellStart"/>
      <w:r w:rsidRPr="0035230F">
        <w:rPr>
          <w:rFonts w:cs="Times New Roman"/>
          <w:sz w:val="28"/>
          <w:szCs w:val="28"/>
        </w:rPr>
        <w:t>International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Journal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of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Commercial</w:t>
      </w:r>
      <w:proofErr w:type="spellEnd"/>
      <w:r w:rsidRPr="0035230F">
        <w:rPr>
          <w:rFonts w:cs="Times New Roman"/>
          <w:sz w:val="28"/>
          <w:szCs w:val="28"/>
        </w:rPr>
        <w:t xml:space="preserve"> </w:t>
      </w:r>
      <w:proofErr w:type="spellStart"/>
      <w:r w:rsidRPr="0035230F">
        <w:rPr>
          <w:rFonts w:cs="Times New Roman"/>
          <w:sz w:val="28"/>
          <w:szCs w:val="28"/>
        </w:rPr>
        <w:t>Vehicles</w:t>
      </w:r>
      <w:proofErr w:type="spellEnd"/>
      <w:r w:rsidRPr="0035230F">
        <w:rPr>
          <w:rFonts w:cs="Times New Roman"/>
          <w:sz w:val="28"/>
          <w:szCs w:val="28"/>
        </w:rPr>
        <w:t xml:space="preserve"> 5(1):280-290. </w:t>
      </w:r>
    </w:p>
    <w:p w14:paraId="6A991AC0" w14:textId="05319F19" w:rsidR="00AB5CD4" w:rsidRPr="00AB5CD4" w:rsidRDefault="00AB5CD4" w:rsidP="0035230F">
      <w:pPr>
        <w:spacing w:line="276" w:lineRule="auto"/>
        <w:ind w:firstLine="0"/>
        <w:jc w:val="both"/>
        <w:rPr>
          <w:rFonts w:cs="Times New Roman"/>
          <w:sz w:val="28"/>
          <w:szCs w:val="28"/>
        </w:rPr>
      </w:pPr>
    </w:p>
    <w:sectPr w:rsidR="00AB5CD4" w:rsidRPr="00AB5CD4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C39"/>
    <w:multiLevelType w:val="multilevel"/>
    <w:tmpl w:val="3976C3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3BE63673"/>
    <w:multiLevelType w:val="multilevel"/>
    <w:tmpl w:val="74E8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C0238DA"/>
    <w:multiLevelType w:val="multilevel"/>
    <w:tmpl w:val="66F8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583CA6"/>
    <w:multiLevelType w:val="multilevel"/>
    <w:tmpl w:val="1C96F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C0A4D"/>
    <w:rsid w:val="00241324"/>
    <w:rsid w:val="002D20E7"/>
    <w:rsid w:val="0035230F"/>
    <w:rsid w:val="00355DDC"/>
    <w:rsid w:val="004B7CB2"/>
    <w:rsid w:val="005460FC"/>
    <w:rsid w:val="005535D1"/>
    <w:rsid w:val="00557BD1"/>
    <w:rsid w:val="00576FA5"/>
    <w:rsid w:val="005D433B"/>
    <w:rsid w:val="00624699"/>
    <w:rsid w:val="0063782D"/>
    <w:rsid w:val="0066558B"/>
    <w:rsid w:val="00675DE7"/>
    <w:rsid w:val="006841A8"/>
    <w:rsid w:val="006E1509"/>
    <w:rsid w:val="00700658"/>
    <w:rsid w:val="00703DCD"/>
    <w:rsid w:val="007415CA"/>
    <w:rsid w:val="00750106"/>
    <w:rsid w:val="007E1217"/>
    <w:rsid w:val="00800AC0"/>
    <w:rsid w:val="00901A47"/>
    <w:rsid w:val="00995A9E"/>
    <w:rsid w:val="009D0567"/>
    <w:rsid w:val="009E358D"/>
    <w:rsid w:val="00A115F0"/>
    <w:rsid w:val="00A212EA"/>
    <w:rsid w:val="00A33FA7"/>
    <w:rsid w:val="00A51FAD"/>
    <w:rsid w:val="00AA23AD"/>
    <w:rsid w:val="00AB5CD4"/>
    <w:rsid w:val="00B12080"/>
    <w:rsid w:val="00B96674"/>
    <w:rsid w:val="00BE1822"/>
    <w:rsid w:val="00BF36F6"/>
    <w:rsid w:val="00D072F7"/>
    <w:rsid w:val="00D60A92"/>
    <w:rsid w:val="00D84B4D"/>
    <w:rsid w:val="00DE1766"/>
    <w:rsid w:val="00E95B21"/>
    <w:rsid w:val="00EA2B61"/>
    <w:rsid w:val="00EC5F48"/>
    <w:rsid w:val="00F01F20"/>
    <w:rsid w:val="00F4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5230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523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3736</Words>
  <Characters>2131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Віктор</dc:creator>
  <cp:lastModifiedBy>Victor Rebenko</cp:lastModifiedBy>
  <cp:revision>3</cp:revision>
  <dcterms:created xsi:type="dcterms:W3CDTF">2025-10-23T18:19:00Z</dcterms:created>
  <dcterms:modified xsi:type="dcterms:W3CDTF">2025-10-23T18:20:00Z</dcterms:modified>
</cp:coreProperties>
</file>