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614D6" w14:textId="6AE9B8E4" w:rsidR="00F9764A" w:rsidRDefault="00FB1A4E" w:rsidP="009A1DC0">
      <w:pPr>
        <w:spacing w:after="0" w:line="276" w:lineRule="auto"/>
        <w:jc w:val="both"/>
        <w:rPr>
          <w:rFonts w:ascii="Times New Roman" w:hAnsi="Times New Roman" w:cs="Times New Roman"/>
          <w:sz w:val="28"/>
          <w:szCs w:val="28"/>
        </w:rPr>
      </w:pPr>
      <w:r w:rsidRPr="00FB1A4E">
        <w:rPr>
          <w:rFonts w:ascii="Times New Roman" w:hAnsi="Times New Roman" w:cs="Times New Roman"/>
          <w:sz w:val="28"/>
          <w:szCs w:val="28"/>
          <w:lang w:val="uk-UA"/>
        </w:rPr>
        <w:t>UDC 628.336.8:628.387</w:t>
      </w:r>
    </w:p>
    <w:p w14:paraId="1D1705AB" w14:textId="77777777" w:rsidR="009A1DC0" w:rsidRPr="009A1DC0" w:rsidRDefault="009A1DC0" w:rsidP="00AF52D4">
      <w:pPr>
        <w:spacing w:after="0" w:line="276" w:lineRule="auto"/>
        <w:jc w:val="both"/>
        <w:rPr>
          <w:rFonts w:ascii="Times New Roman" w:hAnsi="Times New Roman" w:cs="Times New Roman"/>
          <w:sz w:val="28"/>
          <w:szCs w:val="28"/>
          <w:lang w:val="uk-UA"/>
        </w:rPr>
      </w:pPr>
    </w:p>
    <w:p w14:paraId="56671EF3" w14:textId="1D7F826E" w:rsidR="009A1DC0" w:rsidRDefault="00FB1A4E" w:rsidP="00AF52D4">
      <w:pPr>
        <w:spacing w:after="0" w:line="276" w:lineRule="auto"/>
        <w:jc w:val="center"/>
        <w:rPr>
          <w:rFonts w:ascii="Times New Roman" w:hAnsi="Times New Roman" w:cs="Times New Roman"/>
          <w:b/>
          <w:bCs/>
          <w:sz w:val="28"/>
          <w:szCs w:val="28"/>
          <w:lang w:val="uk-UA"/>
        </w:rPr>
      </w:pPr>
      <w:r w:rsidRPr="00FB1A4E">
        <w:rPr>
          <w:rFonts w:ascii="Times New Roman" w:hAnsi="Times New Roman" w:cs="Times New Roman"/>
          <w:b/>
          <w:bCs/>
          <w:sz w:val="28"/>
          <w:szCs w:val="28"/>
          <w:lang w:val="uk-UA"/>
        </w:rPr>
        <w:t>MAIN TRENDS IN THE VALORISATION OF SEWAGE SLUDGE IN UKRAINE AND THE EU</w:t>
      </w:r>
    </w:p>
    <w:p w14:paraId="098FC986" w14:textId="77777777" w:rsidR="00C33095" w:rsidRPr="009A1DC0" w:rsidRDefault="00C33095" w:rsidP="00AF52D4">
      <w:pPr>
        <w:spacing w:after="0" w:line="276" w:lineRule="auto"/>
        <w:jc w:val="center"/>
        <w:rPr>
          <w:rFonts w:ascii="Times New Roman" w:hAnsi="Times New Roman" w:cs="Times New Roman"/>
          <w:b/>
          <w:bCs/>
          <w:sz w:val="28"/>
          <w:szCs w:val="28"/>
          <w:lang w:val="uk-UA"/>
        </w:rPr>
      </w:pPr>
    </w:p>
    <w:p w14:paraId="3919411C" w14:textId="4BE8B391" w:rsidR="00FB1A4E" w:rsidRDefault="00FB1A4E" w:rsidP="00FB1A4E">
      <w:pPr>
        <w:widowControl w:val="0"/>
        <w:spacing w:after="0" w:line="276" w:lineRule="auto"/>
        <w:jc w:val="center"/>
        <w:rPr>
          <w:rFonts w:ascii="Times New Roman" w:eastAsia="Calibri" w:hAnsi="Times New Roman" w:cs="Times New Roman"/>
          <w:noProof w:val="0"/>
          <w:sz w:val="28"/>
          <w:lang w:val="en-GB"/>
        </w:rPr>
      </w:pPr>
      <w:proofErr w:type="spellStart"/>
      <w:r w:rsidRPr="00FB1A4E">
        <w:rPr>
          <w:rFonts w:ascii="Times New Roman" w:eastAsia="Calibri" w:hAnsi="Times New Roman" w:cs="Times New Roman"/>
          <w:b/>
          <w:noProof w:val="0"/>
          <w:sz w:val="28"/>
          <w:lang w:val="en-GB"/>
        </w:rPr>
        <w:t>Bratishko</w:t>
      </w:r>
      <w:proofErr w:type="spellEnd"/>
      <w:r w:rsidRPr="00FB1A4E">
        <w:rPr>
          <w:rFonts w:ascii="Times New Roman" w:eastAsia="Calibri" w:hAnsi="Times New Roman" w:cs="Times New Roman"/>
          <w:b/>
          <w:noProof w:val="0"/>
          <w:sz w:val="28"/>
          <w:lang w:val="en-GB"/>
        </w:rPr>
        <w:t xml:space="preserve"> V.V.</w:t>
      </w:r>
      <w:r w:rsidRPr="00FB1A4E">
        <w:rPr>
          <w:rFonts w:ascii="Times New Roman" w:eastAsia="Calibri" w:hAnsi="Times New Roman" w:cs="Times New Roman"/>
          <w:noProof w:val="0"/>
          <w:sz w:val="28"/>
          <w:lang w:val="en-GB"/>
        </w:rPr>
        <w:t xml:space="preserve">, Sc.D. Eng., </w:t>
      </w:r>
      <w:r>
        <w:rPr>
          <w:rFonts w:ascii="Times New Roman" w:eastAsia="Calibri" w:hAnsi="Times New Roman" w:cs="Times New Roman"/>
          <w:noProof w:val="0"/>
          <w:sz w:val="28"/>
          <w:lang w:val="en-GB"/>
        </w:rPr>
        <w:t>vbratishko@nubip.edu.ua</w:t>
      </w:r>
    </w:p>
    <w:p w14:paraId="2DFE4254" w14:textId="77777777" w:rsidR="00FB1A4E" w:rsidRDefault="00FB1A4E" w:rsidP="00FB1A4E">
      <w:pPr>
        <w:widowControl w:val="0"/>
        <w:spacing w:after="0" w:line="276" w:lineRule="auto"/>
        <w:jc w:val="center"/>
        <w:rPr>
          <w:rFonts w:ascii="Times New Roman" w:eastAsia="Calibri" w:hAnsi="Times New Roman" w:cs="Times New Roman"/>
          <w:noProof w:val="0"/>
          <w:sz w:val="28"/>
          <w:lang w:val="en-GB"/>
        </w:rPr>
      </w:pPr>
      <w:proofErr w:type="spellStart"/>
      <w:r w:rsidRPr="00FB1A4E">
        <w:rPr>
          <w:rFonts w:ascii="Times New Roman" w:eastAsia="Calibri" w:hAnsi="Times New Roman" w:cs="Times New Roman"/>
          <w:b/>
          <w:bCs/>
          <w:noProof w:val="0"/>
          <w:sz w:val="28"/>
          <w:lang w:val="en-GB"/>
        </w:rPr>
        <w:t>Khmelovskyi</w:t>
      </w:r>
      <w:proofErr w:type="spellEnd"/>
      <w:r w:rsidRPr="00FB1A4E">
        <w:rPr>
          <w:rFonts w:ascii="Times New Roman" w:eastAsia="Calibri" w:hAnsi="Times New Roman" w:cs="Times New Roman"/>
          <w:b/>
          <w:bCs/>
          <w:noProof w:val="0"/>
          <w:sz w:val="28"/>
          <w:lang w:val="en-GB"/>
        </w:rPr>
        <w:t xml:space="preserve"> V.S.</w:t>
      </w:r>
      <w:r w:rsidRPr="00FB1A4E">
        <w:rPr>
          <w:rFonts w:ascii="Times New Roman" w:eastAsia="Calibri" w:hAnsi="Times New Roman" w:cs="Times New Roman"/>
          <w:noProof w:val="0"/>
          <w:sz w:val="28"/>
          <w:lang w:val="en-GB"/>
        </w:rPr>
        <w:t xml:space="preserve">, Sc.D. Eng., </w:t>
      </w:r>
      <w:r>
        <w:rPr>
          <w:rFonts w:ascii="Times New Roman" w:eastAsia="Calibri" w:hAnsi="Times New Roman" w:cs="Times New Roman"/>
          <w:noProof w:val="0"/>
          <w:sz w:val="28"/>
          <w:lang w:val="en-GB"/>
        </w:rPr>
        <w:t>hmelvas@ukr.net</w:t>
      </w:r>
    </w:p>
    <w:p w14:paraId="39E9F7C1" w14:textId="05BFD8DC" w:rsidR="00FB1A4E" w:rsidRDefault="00FB1A4E" w:rsidP="00FB1A4E">
      <w:pPr>
        <w:widowControl w:val="0"/>
        <w:spacing w:after="0" w:line="276" w:lineRule="auto"/>
        <w:jc w:val="center"/>
        <w:rPr>
          <w:rFonts w:ascii="Times New Roman" w:eastAsia="Calibri" w:hAnsi="Times New Roman" w:cs="Times New Roman"/>
          <w:noProof w:val="0"/>
          <w:sz w:val="28"/>
          <w:lang w:val="en-GB"/>
        </w:rPr>
      </w:pPr>
      <w:proofErr w:type="spellStart"/>
      <w:r w:rsidRPr="00FB1A4E">
        <w:rPr>
          <w:rFonts w:ascii="Times New Roman" w:eastAsia="Calibri" w:hAnsi="Times New Roman" w:cs="Times New Roman"/>
          <w:b/>
          <w:bCs/>
          <w:noProof w:val="0"/>
          <w:sz w:val="28"/>
          <w:lang w:val="en-GB"/>
        </w:rPr>
        <w:t>Achkevych</w:t>
      </w:r>
      <w:proofErr w:type="spellEnd"/>
      <w:r w:rsidRPr="00FB1A4E">
        <w:rPr>
          <w:rFonts w:ascii="Times New Roman" w:eastAsia="Calibri" w:hAnsi="Times New Roman" w:cs="Times New Roman"/>
          <w:b/>
          <w:bCs/>
          <w:noProof w:val="0"/>
          <w:sz w:val="28"/>
          <w:lang w:val="en-GB"/>
        </w:rPr>
        <w:t xml:space="preserve"> O.M.</w:t>
      </w:r>
      <w:r w:rsidRPr="00FB1A4E">
        <w:rPr>
          <w:rFonts w:ascii="Times New Roman" w:eastAsia="Calibri" w:hAnsi="Times New Roman" w:cs="Times New Roman"/>
          <w:noProof w:val="0"/>
          <w:sz w:val="28"/>
          <w:lang w:val="en-GB"/>
        </w:rPr>
        <w:t xml:space="preserve">, Ph.D. Eng., </w:t>
      </w:r>
      <w:r>
        <w:rPr>
          <w:rFonts w:ascii="Times New Roman" w:eastAsia="Calibri" w:hAnsi="Times New Roman" w:cs="Times New Roman"/>
          <w:noProof w:val="0"/>
          <w:sz w:val="28"/>
          <w:lang w:val="en-GB"/>
        </w:rPr>
        <w:t>achkevych</w:t>
      </w:r>
      <w:r>
        <w:rPr>
          <w:rFonts w:ascii="Times New Roman" w:eastAsia="Calibri" w:hAnsi="Times New Roman" w:cs="Times New Roman"/>
          <w:noProof w:val="0"/>
          <w:sz w:val="28"/>
          <w:lang w:val="en-GB"/>
        </w:rPr>
        <w:t>@nubip.edu.ua</w:t>
      </w:r>
    </w:p>
    <w:p w14:paraId="3ED0E1BA" w14:textId="6E707B5A" w:rsidR="00FB1A4E" w:rsidRPr="00FB1A4E" w:rsidRDefault="00FB1A4E" w:rsidP="00FB1A4E">
      <w:pPr>
        <w:widowControl w:val="0"/>
        <w:spacing w:after="0" w:line="276" w:lineRule="auto"/>
        <w:jc w:val="center"/>
        <w:rPr>
          <w:rFonts w:ascii="Times New Roman" w:eastAsia="Calibri" w:hAnsi="Times New Roman" w:cs="Times New Roman"/>
          <w:i/>
          <w:iCs/>
          <w:noProof w:val="0"/>
          <w:sz w:val="28"/>
          <w:lang w:val="en-GB"/>
        </w:rPr>
      </w:pPr>
      <w:r w:rsidRPr="00FB1A4E">
        <w:rPr>
          <w:rFonts w:ascii="Times New Roman" w:eastAsia="Calibri" w:hAnsi="Times New Roman" w:cs="Times New Roman"/>
          <w:i/>
          <w:iCs/>
          <w:noProof w:val="0"/>
          <w:sz w:val="28"/>
          <w:lang w:val="en-GB"/>
        </w:rPr>
        <w:t>National University of Life and Environmental Sciences of Ukraine</w:t>
      </w:r>
    </w:p>
    <w:p w14:paraId="4D5777F0" w14:textId="2FA12128" w:rsidR="00AF52D4" w:rsidRDefault="00AF52D4" w:rsidP="00AF52D4">
      <w:pPr>
        <w:spacing w:after="0" w:line="276" w:lineRule="auto"/>
        <w:jc w:val="center"/>
        <w:rPr>
          <w:rFonts w:ascii="Times New Roman" w:hAnsi="Times New Roman" w:cs="Times New Roman"/>
          <w:sz w:val="28"/>
          <w:szCs w:val="28"/>
          <w:lang w:val="uk-UA"/>
        </w:rPr>
      </w:pPr>
    </w:p>
    <w:p w14:paraId="01232E37"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Wastewater sludge management is undergoing a fundamental paradigm shift in Europe. The period 2020-2025 is characterised by a transition from traditional disposal to high-tech resource management within the circular economy. The catalyst for this shift was the proven inadequacy of outdated directives, in particular EU Directive 86/278/EEC [1], to meet current requirements and challenges. This directive, which encouraged the agricultural use of sewage sludge as fertiliser or soil improver, proved incapable of regulating “new” hazardous pollutants such as microplastics and per- and polyfluoroalkyl substances (PFAS). As a result, there has been a crisis of confidence in the safety of sewage sludge, prompting leading EU countries to abandon the direct application of sludge to soil.</w:t>
      </w:r>
    </w:p>
    <w:p w14:paraId="3DB0A56F"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The driving force behind the new EU policy was the Circular Economy Action Plan and the recognition of phosphorus as a critical raw material for EU food security, which led to a number of national regulations on the mandatory recovery of phosphorus from sewage sludge.</w:t>
      </w:r>
    </w:p>
    <w:p w14:paraId="3CC768AB"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Germany is the regulatory leader, effectively banning the agricultural use of sewage sludge for large treatment plants from 2029/2032 through its Sludge Regulation. Instead, mandatory phosphorus recovery is being introduced, which in practice means a transition to mono-incineration of sludge (for complete destruction of pollutants) and subsequent chemical extraction of phosphorus from ash.</w:t>
      </w:r>
    </w:p>
    <w:p w14:paraId="49074927"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These trends have led to changes in technological approaches to wastewater sludge management [1]. Composting is currently considered a path to pollution. It does not destroy microplastics and heavy metals, but rather concentrates them in the final product. Anaerobic digestion (biogas) remains a reliable method for achieving energy self-sufficiency in wastewater treatment plants, although it also does not solve the problem of pollutants in the final digestate.</w:t>
      </w:r>
    </w:p>
    <w:p w14:paraId="378E3FA0"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One of the most mature technologies today is the precipitation of struvite (MgNH4PO4) from the liquid phase to recover phosphorus in the form of slow-release fertiliser.</w:t>
      </w:r>
    </w:p>
    <w:p w14:paraId="672BAA86"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 xml:space="preserve">Instead, pyrolysis and gasification technologies are becoming dominant at the present stage [2]. The product of pyrolysis is biochar, which is valuable and is </w:t>
      </w:r>
      <w:r w:rsidRPr="00FB1A4E">
        <w:rPr>
          <w:rFonts w:ascii="Times New Roman" w:hAnsi="Times New Roman" w:cs="Times New Roman"/>
          <w:bCs/>
          <w:sz w:val="28"/>
          <w:szCs w:val="28"/>
          <w:lang w:val="en-GB"/>
        </w:rPr>
        <w:lastRenderedPageBreak/>
        <w:t>considered not only as a soil conditioner, but also as a highly effective sorbent for treating wastewater itself.</w:t>
      </w:r>
    </w:p>
    <w:p w14:paraId="1139C8E0"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Therefore, given the current trends in regulatory policy change, Ukraine is at a critical crossroads. On the one hand, we are facing an environmental crisis due to the outdated practice of accumulating wastewater sludge in overfilled sludge fields, one example of which is the Bortnytska aeration station in Kyiv, where billions of hryvnias are spent not on technological treatment of sludge, but on temporary reinforcement of dams. On the other hand, a fundamental legal shift took place in Ukraine between 2022 and 2024. The adoption of new framework laws “On Waste Management” (2022) [3] and “On Water Drainage and Wastewater Treatment” (2023) [4] and the development of subordinate legislation created effective legal markets for the valorisation of sewage sludge, namely for the production of fertilisers and alternative fuels. The new legislative framework should stimulate practical innovation at the community level – among wastewater treatment plant operators.</w:t>
      </w:r>
    </w:p>
    <w:p w14:paraId="70DBE5F4"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Chronic infrastructure lag gives Ukraine a strategic advantage in the form of an opportunity for a technological leap forward. Ukraine has avoided massive investments in composting technologies, which the EU now considers obsolete [5] due to the problem of microplastics. With a new legislative framework and a clean s</w:t>
      </w:r>
      <w:r w:rsidRPr="00FB1A4E">
        <w:rPr>
          <w:rFonts w:ascii="Times New Roman" w:hAnsi="Times New Roman" w:cs="Times New Roman"/>
          <w:bCs/>
          <w:sz w:val="28"/>
          <w:szCs w:val="28"/>
          <w:lang w:val="en-US"/>
        </w:rPr>
        <w:t>late</w:t>
      </w:r>
      <w:r w:rsidRPr="00FB1A4E">
        <w:rPr>
          <w:rFonts w:ascii="Times New Roman" w:hAnsi="Times New Roman" w:cs="Times New Roman"/>
          <w:bCs/>
          <w:sz w:val="28"/>
          <w:szCs w:val="28"/>
          <w:lang w:val="en-GB"/>
        </w:rPr>
        <w:t xml:space="preserve"> for investment, Ukraine can leapfrog 30 years of EU evolution and immediately implement 2025+ standards (biogas, thermal utilisation, pyrolysis, phosphorus recovery), which are fully in line with the principles of the circular economy.</w:t>
      </w:r>
    </w:p>
    <w:p w14:paraId="3F11C4C4"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p>
    <w:p w14:paraId="27B66840" w14:textId="77777777" w:rsidR="00FB1A4E" w:rsidRPr="00FB1A4E" w:rsidRDefault="00FB1A4E" w:rsidP="00FB1A4E">
      <w:pPr>
        <w:spacing w:after="0" w:line="276" w:lineRule="auto"/>
        <w:jc w:val="center"/>
        <w:rPr>
          <w:rFonts w:ascii="Times New Roman" w:hAnsi="Times New Roman" w:cs="Times New Roman"/>
          <w:b/>
          <w:sz w:val="28"/>
          <w:szCs w:val="28"/>
          <w:lang w:val="en-GB"/>
        </w:rPr>
      </w:pPr>
      <w:r w:rsidRPr="00FB1A4E">
        <w:rPr>
          <w:rFonts w:ascii="Times New Roman" w:hAnsi="Times New Roman" w:cs="Times New Roman"/>
          <w:b/>
          <w:sz w:val="28"/>
          <w:szCs w:val="28"/>
          <w:lang w:val="en-GB"/>
        </w:rPr>
        <w:t>REFERENCES</w:t>
      </w:r>
    </w:p>
    <w:p w14:paraId="1BCA18F3"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1. Salva, J., Sečkár, M., Schwarz, M. </w:t>
      </w:r>
      <w:r w:rsidRPr="00FB1A4E">
        <w:rPr>
          <w:rFonts w:ascii="Times New Roman" w:hAnsi="Times New Roman" w:cs="Times New Roman"/>
          <w:bCs/>
          <w:i/>
          <w:iCs/>
          <w:sz w:val="28"/>
          <w:szCs w:val="28"/>
          <w:lang w:val="en-GB"/>
        </w:rPr>
        <w:t>et al.</w:t>
      </w:r>
      <w:r w:rsidRPr="00FB1A4E">
        <w:rPr>
          <w:rFonts w:ascii="Times New Roman" w:hAnsi="Times New Roman" w:cs="Times New Roman"/>
          <w:bCs/>
          <w:sz w:val="28"/>
          <w:szCs w:val="28"/>
          <w:lang w:val="en-GB"/>
        </w:rPr>
        <w:t> Analysis of the current state of sewage sludge treatment from the perspective of current European directives. </w:t>
      </w:r>
      <w:r w:rsidRPr="00FB1A4E">
        <w:rPr>
          <w:rFonts w:ascii="Times New Roman" w:hAnsi="Times New Roman" w:cs="Times New Roman"/>
          <w:bCs/>
          <w:i/>
          <w:iCs/>
          <w:sz w:val="28"/>
          <w:szCs w:val="28"/>
          <w:lang w:val="en-GB"/>
        </w:rPr>
        <w:t>Environ Sci Eur</w:t>
      </w:r>
      <w:r w:rsidRPr="00FB1A4E">
        <w:rPr>
          <w:rFonts w:ascii="Times New Roman" w:hAnsi="Times New Roman" w:cs="Times New Roman"/>
          <w:bCs/>
          <w:sz w:val="28"/>
          <w:szCs w:val="28"/>
          <w:lang w:val="en-GB"/>
        </w:rPr>
        <w:t> 37, 59 (2025). https://doi.org/10.1186/s12302-025-01097-7</w:t>
      </w:r>
    </w:p>
    <w:p w14:paraId="332BD082"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2. Jin, F., Lu, J., Sun, F. </w:t>
      </w:r>
      <w:r w:rsidRPr="00FB1A4E">
        <w:rPr>
          <w:rFonts w:ascii="Times New Roman" w:hAnsi="Times New Roman" w:cs="Times New Roman"/>
          <w:bCs/>
          <w:i/>
          <w:iCs/>
          <w:sz w:val="28"/>
          <w:szCs w:val="28"/>
          <w:lang w:val="en-GB"/>
        </w:rPr>
        <w:t>et al.</w:t>
      </w:r>
      <w:r w:rsidRPr="00FB1A4E">
        <w:rPr>
          <w:rFonts w:ascii="Times New Roman" w:hAnsi="Times New Roman" w:cs="Times New Roman"/>
          <w:bCs/>
          <w:sz w:val="28"/>
          <w:szCs w:val="28"/>
          <w:lang w:val="en-GB"/>
        </w:rPr>
        <w:t xml:space="preserve"> Application and development of sludge-based materials for environmental pollution remediation: a bibliometric review from 2004 to 2024. </w:t>
      </w:r>
      <w:r w:rsidRPr="00FB1A4E">
        <w:rPr>
          <w:rFonts w:ascii="Times New Roman" w:hAnsi="Times New Roman" w:cs="Times New Roman"/>
          <w:bCs/>
          <w:i/>
          <w:iCs/>
          <w:sz w:val="28"/>
          <w:szCs w:val="28"/>
          <w:lang w:val="en-GB"/>
        </w:rPr>
        <w:t>RSC Advances</w:t>
      </w:r>
      <w:r w:rsidRPr="00FB1A4E">
        <w:rPr>
          <w:rFonts w:ascii="Times New Roman" w:hAnsi="Times New Roman" w:cs="Times New Roman"/>
          <w:bCs/>
          <w:sz w:val="28"/>
          <w:szCs w:val="28"/>
          <w:lang w:val="en-GB"/>
        </w:rPr>
        <w:t>, 15, 10 (2025). https://doi.org/10.1039/d5ra00620a</w:t>
      </w:r>
    </w:p>
    <w:p w14:paraId="32EAE7D7"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3. Law of Ukraine “On Waste Management (Pro upravlinnia vidkhodamy)” (№ 2320-IX, 20.06.2022).</w:t>
      </w:r>
    </w:p>
    <w:p w14:paraId="78CCEA0F" w14:textId="77777777" w:rsidR="00FB1A4E" w:rsidRPr="00FB1A4E" w:rsidRDefault="00FB1A4E" w:rsidP="00FB1A4E">
      <w:pPr>
        <w:spacing w:after="0" w:line="276" w:lineRule="auto"/>
        <w:ind w:firstLine="709"/>
        <w:jc w:val="both"/>
        <w:rPr>
          <w:rFonts w:ascii="Times New Roman" w:hAnsi="Times New Roman" w:cs="Times New Roman"/>
          <w:bCs/>
          <w:sz w:val="28"/>
          <w:szCs w:val="28"/>
          <w:lang w:val="en-GB"/>
        </w:rPr>
      </w:pPr>
      <w:r w:rsidRPr="00FB1A4E">
        <w:rPr>
          <w:rFonts w:ascii="Times New Roman" w:hAnsi="Times New Roman" w:cs="Times New Roman"/>
          <w:bCs/>
          <w:sz w:val="28"/>
          <w:szCs w:val="28"/>
          <w:lang w:val="en-GB"/>
        </w:rPr>
        <w:t>4. Law of Ukraine “On Water Drainage and Wastewater Treatment (Pro vodovidvedennia ta ochyshchennia stichnykh vod)” (№ 2887-IX, 12.01.2023).</w:t>
      </w:r>
    </w:p>
    <w:p w14:paraId="683C422D" w14:textId="77777777" w:rsidR="00FB1A4E" w:rsidRPr="00FB1A4E" w:rsidRDefault="00FB1A4E" w:rsidP="00FB1A4E">
      <w:pPr>
        <w:spacing w:after="0" w:line="276" w:lineRule="auto"/>
        <w:ind w:firstLine="709"/>
        <w:jc w:val="both"/>
        <w:rPr>
          <w:rFonts w:ascii="Times New Roman" w:hAnsi="Times New Roman" w:cs="Times New Roman"/>
          <w:sz w:val="28"/>
          <w:szCs w:val="28"/>
          <w:lang w:val="en-GB"/>
        </w:rPr>
      </w:pPr>
      <w:r w:rsidRPr="00FB1A4E">
        <w:rPr>
          <w:rFonts w:ascii="Times New Roman" w:hAnsi="Times New Roman" w:cs="Times New Roman"/>
          <w:bCs/>
          <w:sz w:val="28"/>
          <w:szCs w:val="28"/>
          <w:lang w:val="en-GB"/>
        </w:rPr>
        <w:t>5. Lucia, C., Badalucco, L., Corsino, S.F. </w:t>
      </w:r>
      <w:r w:rsidRPr="00FB1A4E">
        <w:rPr>
          <w:rFonts w:ascii="Times New Roman" w:hAnsi="Times New Roman" w:cs="Times New Roman"/>
          <w:bCs/>
          <w:i/>
          <w:iCs/>
          <w:sz w:val="28"/>
          <w:szCs w:val="28"/>
          <w:lang w:val="en-GB"/>
        </w:rPr>
        <w:t>et al.</w:t>
      </w:r>
      <w:r w:rsidRPr="00FB1A4E">
        <w:rPr>
          <w:rFonts w:ascii="Times New Roman" w:hAnsi="Times New Roman" w:cs="Times New Roman"/>
          <w:bCs/>
          <w:sz w:val="28"/>
          <w:szCs w:val="28"/>
          <w:lang w:val="en-GB"/>
        </w:rPr>
        <w:t> Management and valorisation of sewage sludge to foster the circular economy in the agricultural sector. </w:t>
      </w:r>
      <w:r w:rsidRPr="00FB1A4E">
        <w:rPr>
          <w:rFonts w:ascii="Times New Roman" w:hAnsi="Times New Roman" w:cs="Times New Roman"/>
          <w:bCs/>
          <w:i/>
          <w:iCs/>
          <w:sz w:val="28"/>
          <w:szCs w:val="28"/>
          <w:lang w:val="en-GB"/>
        </w:rPr>
        <w:t>Discov. Soil</w:t>
      </w:r>
      <w:r w:rsidRPr="00FB1A4E">
        <w:rPr>
          <w:rFonts w:ascii="Times New Roman" w:hAnsi="Times New Roman" w:cs="Times New Roman"/>
          <w:bCs/>
          <w:sz w:val="28"/>
          <w:szCs w:val="28"/>
          <w:lang w:val="en-GB"/>
        </w:rPr>
        <w:t> 2, 80 (2025). https://doi.org/10.1007/s44378-025-00105-9</w:t>
      </w:r>
    </w:p>
    <w:p w14:paraId="1B820995" w14:textId="66B667E0" w:rsidR="00FB1A4E" w:rsidRDefault="00FB1A4E" w:rsidP="00FB1A4E">
      <w:pPr>
        <w:spacing w:after="0" w:line="276" w:lineRule="auto"/>
        <w:ind w:firstLine="709"/>
        <w:jc w:val="both"/>
        <w:rPr>
          <w:rFonts w:ascii="Times New Roman" w:hAnsi="Times New Roman" w:cs="Times New Roman"/>
          <w:sz w:val="28"/>
          <w:szCs w:val="28"/>
          <w:lang w:val="uk-UA"/>
        </w:rPr>
      </w:pPr>
    </w:p>
    <w:sectPr w:rsidR="00FB1A4E" w:rsidSect="009A1DC0">
      <w:pgSz w:w="11906" w:h="16838" w:code="9"/>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980FEAA"/>
    <w:lvl w:ilvl="0">
      <w:start w:val="1"/>
      <w:numFmt w:val="decimal"/>
      <w:pStyle w:val="a"/>
      <w:lvlText w:val="%1."/>
      <w:lvlJc w:val="left"/>
      <w:pPr>
        <w:tabs>
          <w:tab w:val="num" w:pos="360"/>
        </w:tabs>
        <w:ind w:left="360" w:hanging="360"/>
      </w:pPr>
    </w:lvl>
  </w:abstractNum>
  <w:abstractNum w:abstractNumId="1" w15:restartNumberingAfterBreak="0">
    <w:nsid w:val="1F7F1408"/>
    <w:multiLevelType w:val="multilevel"/>
    <w:tmpl w:val="6708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07A"/>
    <w:rsid w:val="00027161"/>
    <w:rsid w:val="000515BE"/>
    <w:rsid w:val="00053F45"/>
    <w:rsid w:val="00061FE4"/>
    <w:rsid w:val="000B16B1"/>
    <w:rsid w:val="000D66B3"/>
    <w:rsid w:val="000E070B"/>
    <w:rsid w:val="00105C67"/>
    <w:rsid w:val="00107E67"/>
    <w:rsid w:val="00196AD2"/>
    <w:rsid w:val="001A1010"/>
    <w:rsid w:val="001D0BA3"/>
    <w:rsid w:val="001E19B0"/>
    <w:rsid w:val="00203544"/>
    <w:rsid w:val="00223DFF"/>
    <w:rsid w:val="0024482B"/>
    <w:rsid w:val="002724F2"/>
    <w:rsid w:val="00272A4D"/>
    <w:rsid w:val="002D7293"/>
    <w:rsid w:val="00355997"/>
    <w:rsid w:val="00371738"/>
    <w:rsid w:val="003756ED"/>
    <w:rsid w:val="00392E57"/>
    <w:rsid w:val="00397062"/>
    <w:rsid w:val="003A3C4A"/>
    <w:rsid w:val="004B1ED6"/>
    <w:rsid w:val="004E4615"/>
    <w:rsid w:val="00567F05"/>
    <w:rsid w:val="00596827"/>
    <w:rsid w:val="005A1A82"/>
    <w:rsid w:val="005C62D4"/>
    <w:rsid w:val="005D0655"/>
    <w:rsid w:val="005E3557"/>
    <w:rsid w:val="006025CE"/>
    <w:rsid w:val="00603A60"/>
    <w:rsid w:val="0067437F"/>
    <w:rsid w:val="006831E5"/>
    <w:rsid w:val="006A689E"/>
    <w:rsid w:val="006A68B0"/>
    <w:rsid w:val="006D2EAA"/>
    <w:rsid w:val="006D359D"/>
    <w:rsid w:val="006E43EA"/>
    <w:rsid w:val="006F701F"/>
    <w:rsid w:val="0070215B"/>
    <w:rsid w:val="007A0B11"/>
    <w:rsid w:val="007C477A"/>
    <w:rsid w:val="007C4FC6"/>
    <w:rsid w:val="007C707A"/>
    <w:rsid w:val="007D5FAB"/>
    <w:rsid w:val="007E538D"/>
    <w:rsid w:val="008062DA"/>
    <w:rsid w:val="00823AE4"/>
    <w:rsid w:val="00827FB3"/>
    <w:rsid w:val="00856745"/>
    <w:rsid w:val="0085779C"/>
    <w:rsid w:val="00892AA4"/>
    <w:rsid w:val="008A1877"/>
    <w:rsid w:val="008A4AEA"/>
    <w:rsid w:val="008A7E3E"/>
    <w:rsid w:val="008C3C54"/>
    <w:rsid w:val="009021F2"/>
    <w:rsid w:val="009056F9"/>
    <w:rsid w:val="00927D6C"/>
    <w:rsid w:val="00946C40"/>
    <w:rsid w:val="0095231E"/>
    <w:rsid w:val="00960F30"/>
    <w:rsid w:val="00975ECD"/>
    <w:rsid w:val="009A0063"/>
    <w:rsid w:val="009A1DC0"/>
    <w:rsid w:val="009C09BA"/>
    <w:rsid w:val="009C17E9"/>
    <w:rsid w:val="009E49CB"/>
    <w:rsid w:val="00A03F71"/>
    <w:rsid w:val="00A1336D"/>
    <w:rsid w:val="00AA5BEE"/>
    <w:rsid w:val="00AB3EB3"/>
    <w:rsid w:val="00AF52D4"/>
    <w:rsid w:val="00AF7CFF"/>
    <w:rsid w:val="00B40964"/>
    <w:rsid w:val="00B51B44"/>
    <w:rsid w:val="00B62C7A"/>
    <w:rsid w:val="00BC7295"/>
    <w:rsid w:val="00BE1999"/>
    <w:rsid w:val="00BF33A9"/>
    <w:rsid w:val="00C17D21"/>
    <w:rsid w:val="00C33095"/>
    <w:rsid w:val="00C33603"/>
    <w:rsid w:val="00C7444A"/>
    <w:rsid w:val="00C77A08"/>
    <w:rsid w:val="00C80210"/>
    <w:rsid w:val="00C94850"/>
    <w:rsid w:val="00C96C91"/>
    <w:rsid w:val="00CB2CB6"/>
    <w:rsid w:val="00CE7D25"/>
    <w:rsid w:val="00D65FC6"/>
    <w:rsid w:val="00D713DA"/>
    <w:rsid w:val="00D8158A"/>
    <w:rsid w:val="00D844E3"/>
    <w:rsid w:val="00DE0FEF"/>
    <w:rsid w:val="00E1113B"/>
    <w:rsid w:val="00E33B66"/>
    <w:rsid w:val="00E345C2"/>
    <w:rsid w:val="00E37354"/>
    <w:rsid w:val="00E375E5"/>
    <w:rsid w:val="00E86182"/>
    <w:rsid w:val="00EA6469"/>
    <w:rsid w:val="00EA7854"/>
    <w:rsid w:val="00EB4FF1"/>
    <w:rsid w:val="00F03A71"/>
    <w:rsid w:val="00F1726A"/>
    <w:rsid w:val="00F255D5"/>
    <w:rsid w:val="00F269F4"/>
    <w:rsid w:val="00F370D1"/>
    <w:rsid w:val="00F44C73"/>
    <w:rsid w:val="00F9764A"/>
    <w:rsid w:val="00FB1A4E"/>
    <w:rsid w:val="00FD2864"/>
    <w:rsid w:val="00FD68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9C5BC"/>
  <w15:chartTrackingRefBased/>
  <w15:docId w15:val="{F70C65D0-999E-46DC-A632-F70363BC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noProof/>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2D7293"/>
    <w:rPr>
      <w:color w:val="0000FF"/>
      <w:u w:val="single"/>
    </w:rPr>
  </w:style>
  <w:style w:type="table" w:styleId="a5">
    <w:name w:val="Table Grid"/>
    <w:basedOn w:val="a2"/>
    <w:uiPriority w:val="39"/>
    <w:rsid w:val="001E1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Number"/>
    <w:basedOn w:val="a0"/>
    <w:uiPriority w:val="99"/>
    <w:unhideWhenUsed/>
    <w:rsid w:val="00F370D1"/>
    <w:pPr>
      <w:numPr>
        <w:numId w:val="2"/>
      </w:numPr>
      <w:tabs>
        <w:tab w:val="clear" w:pos="360"/>
      </w:tabs>
      <w:spacing w:after="200" w:line="276" w:lineRule="auto"/>
      <w:ind w:left="0" w:firstLine="0"/>
      <w:contextualSpacing/>
    </w:pPr>
    <w:rPr>
      <w:rFonts w:eastAsiaTheme="minorEastAsia"/>
      <w:noProof w:val="0"/>
      <w:lang w:val="en-US"/>
    </w:rPr>
  </w:style>
  <w:style w:type="character" w:styleId="a6">
    <w:name w:val="Unresolved Mention"/>
    <w:basedOn w:val="a1"/>
    <w:uiPriority w:val="99"/>
    <w:semiHidden/>
    <w:unhideWhenUsed/>
    <w:rsid w:val="00F370D1"/>
    <w:rPr>
      <w:color w:val="605E5C"/>
      <w:shd w:val="clear" w:color="auto" w:fill="E1DFDD"/>
    </w:rPr>
  </w:style>
  <w:style w:type="character" w:styleId="a7">
    <w:name w:val="FollowedHyperlink"/>
    <w:basedOn w:val="a1"/>
    <w:uiPriority w:val="99"/>
    <w:semiHidden/>
    <w:unhideWhenUsed/>
    <w:rsid w:val="006E43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8776">
      <w:bodyDiv w:val="1"/>
      <w:marLeft w:val="0"/>
      <w:marRight w:val="0"/>
      <w:marTop w:val="0"/>
      <w:marBottom w:val="0"/>
      <w:divBdr>
        <w:top w:val="none" w:sz="0" w:space="0" w:color="auto"/>
        <w:left w:val="none" w:sz="0" w:space="0" w:color="auto"/>
        <w:bottom w:val="none" w:sz="0" w:space="0" w:color="auto"/>
        <w:right w:val="none" w:sz="0" w:space="0" w:color="auto"/>
      </w:divBdr>
    </w:div>
    <w:div w:id="190921161">
      <w:bodyDiv w:val="1"/>
      <w:marLeft w:val="0"/>
      <w:marRight w:val="0"/>
      <w:marTop w:val="0"/>
      <w:marBottom w:val="0"/>
      <w:divBdr>
        <w:top w:val="none" w:sz="0" w:space="0" w:color="auto"/>
        <w:left w:val="none" w:sz="0" w:space="0" w:color="auto"/>
        <w:bottom w:val="none" w:sz="0" w:space="0" w:color="auto"/>
        <w:right w:val="none" w:sz="0" w:space="0" w:color="auto"/>
      </w:divBdr>
    </w:div>
    <w:div w:id="326205162">
      <w:bodyDiv w:val="1"/>
      <w:marLeft w:val="0"/>
      <w:marRight w:val="0"/>
      <w:marTop w:val="0"/>
      <w:marBottom w:val="0"/>
      <w:divBdr>
        <w:top w:val="none" w:sz="0" w:space="0" w:color="auto"/>
        <w:left w:val="none" w:sz="0" w:space="0" w:color="auto"/>
        <w:bottom w:val="none" w:sz="0" w:space="0" w:color="auto"/>
        <w:right w:val="none" w:sz="0" w:space="0" w:color="auto"/>
      </w:divBdr>
      <w:divsChild>
        <w:div w:id="995033989">
          <w:marLeft w:val="0"/>
          <w:marRight w:val="0"/>
          <w:marTop w:val="0"/>
          <w:marBottom w:val="0"/>
          <w:divBdr>
            <w:top w:val="none" w:sz="0" w:space="0" w:color="auto"/>
            <w:left w:val="none" w:sz="0" w:space="0" w:color="auto"/>
            <w:bottom w:val="none" w:sz="0" w:space="0" w:color="auto"/>
            <w:right w:val="none" w:sz="0" w:space="0" w:color="auto"/>
          </w:divBdr>
          <w:divsChild>
            <w:div w:id="1715545212">
              <w:marLeft w:val="0"/>
              <w:marRight w:val="0"/>
              <w:marTop w:val="0"/>
              <w:marBottom w:val="0"/>
              <w:divBdr>
                <w:top w:val="none" w:sz="0" w:space="0" w:color="auto"/>
                <w:left w:val="none" w:sz="0" w:space="0" w:color="auto"/>
                <w:bottom w:val="none" w:sz="0" w:space="0" w:color="auto"/>
                <w:right w:val="none" w:sz="0" w:space="0" w:color="auto"/>
              </w:divBdr>
              <w:divsChild>
                <w:div w:id="503596773">
                  <w:marLeft w:val="0"/>
                  <w:marRight w:val="0"/>
                  <w:marTop w:val="0"/>
                  <w:marBottom w:val="0"/>
                  <w:divBdr>
                    <w:top w:val="none" w:sz="0" w:space="0" w:color="auto"/>
                    <w:left w:val="none" w:sz="0" w:space="0" w:color="auto"/>
                    <w:bottom w:val="none" w:sz="0" w:space="0" w:color="auto"/>
                    <w:right w:val="none" w:sz="0" w:space="0" w:color="auto"/>
                  </w:divBdr>
                  <w:divsChild>
                    <w:div w:id="157207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828723">
      <w:bodyDiv w:val="1"/>
      <w:marLeft w:val="0"/>
      <w:marRight w:val="0"/>
      <w:marTop w:val="0"/>
      <w:marBottom w:val="0"/>
      <w:divBdr>
        <w:top w:val="none" w:sz="0" w:space="0" w:color="auto"/>
        <w:left w:val="none" w:sz="0" w:space="0" w:color="auto"/>
        <w:bottom w:val="none" w:sz="0" w:space="0" w:color="auto"/>
        <w:right w:val="none" w:sz="0" w:space="0" w:color="auto"/>
      </w:divBdr>
    </w:div>
    <w:div w:id="329215692">
      <w:bodyDiv w:val="1"/>
      <w:marLeft w:val="0"/>
      <w:marRight w:val="0"/>
      <w:marTop w:val="0"/>
      <w:marBottom w:val="0"/>
      <w:divBdr>
        <w:top w:val="none" w:sz="0" w:space="0" w:color="auto"/>
        <w:left w:val="none" w:sz="0" w:space="0" w:color="auto"/>
        <w:bottom w:val="none" w:sz="0" w:space="0" w:color="auto"/>
        <w:right w:val="none" w:sz="0" w:space="0" w:color="auto"/>
      </w:divBdr>
    </w:div>
    <w:div w:id="359673029">
      <w:bodyDiv w:val="1"/>
      <w:marLeft w:val="0"/>
      <w:marRight w:val="0"/>
      <w:marTop w:val="0"/>
      <w:marBottom w:val="0"/>
      <w:divBdr>
        <w:top w:val="none" w:sz="0" w:space="0" w:color="auto"/>
        <w:left w:val="none" w:sz="0" w:space="0" w:color="auto"/>
        <w:bottom w:val="none" w:sz="0" w:space="0" w:color="auto"/>
        <w:right w:val="none" w:sz="0" w:space="0" w:color="auto"/>
      </w:divBdr>
    </w:div>
    <w:div w:id="562906818">
      <w:bodyDiv w:val="1"/>
      <w:marLeft w:val="0"/>
      <w:marRight w:val="0"/>
      <w:marTop w:val="0"/>
      <w:marBottom w:val="0"/>
      <w:divBdr>
        <w:top w:val="none" w:sz="0" w:space="0" w:color="auto"/>
        <w:left w:val="none" w:sz="0" w:space="0" w:color="auto"/>
        <w:bottom w:val="none" w:sz="0" w:space="0" w:color="auto"/>
        <w:right w:val="none" w:sz="0" w:space="0" w:color="auto"/>
      </w:divBdr>
    </w:div>
    <w:div w:id="601231365">
      <w:bodyDiv w:val="1"/>
      <w:marLeft w:val="0"/>
      <w:marRight w:val="0"/>
      <w:marTop w:val="0"/>
      <w:marBottom w:val="0"/>
      <w:divBdr>
        <w:top w:val="none" w:sz="0" w:space="0" w:color="auto"/>
        <w:left w:val="none" w:sz="0" w:space="0" w:color="auto"/>
        <w:bottom w:val="none" w:sz="0" w:space="0" w:color="auto"/>
        <w:right w:val="none" w:sz="0" w:space="0" w:color="auto"/>
      </w:divBdr>
    </w:div>
    <w:div w:id="697245802">
      <w:bodyDiv w:val="1"/>
      <w:marLeft w:val="0"/>
      <w:marRight w:val="0"/>
      <w:marTop w:val="0"/>
      <w:marBottom w:val="0"/>
      <w:divBdr>
        <w:top w:val="none" w:sz="0" w:space="0" w:color="auto"/>
        <w:left w:val="none" w:sz="0" w:space="0" w:color="auto"/>
        <w:bottom w:val="none" w:sz="0" w:space="0" w:color="auto"/>
        <w:right w:val="none" w:sz="0" w:space="0" w:color="auto"/>
      </w:divBdr>
    </w:div>
    <w:div w:id="784422344">
      <w:bodyDiv w:val="1"/>
      <w:marLeft w:val="0"/>
      <w:marRight w:val="0"/>
      <w:marTop w:val="0"/>
      <w:marBottom w:val="0"/>
      <w:divBdr>
        <w:top w:val="none" w:sz="0" w:space="0" w:color="auto"/>
        <w:left w:val="none" w:sz="0" w:space="0" w:color="auto"/>
        <w:bottom w:val="none" w:sz="0" w:space="0" w:color="auto"/>
        <w:right w:val="none" w:sz="0" w:space="0" w:color="auto"/>
      </w:divBdr>
    </w:div>
    <w:div w:id="787549115">
      <w:bodyDiv w:val="1"/>
      <w:marLeft w:val="0"/>
      <w:marRight w:val="0"/>
      <w:marTop w:val="0"/>
      <w:marBottom w:val="0"/>
      <w:divBdr>
        <w:top w:val="none" w:sz="0" w:space="0" w:color="auto"/>
        <w:left w:val="none" w:sz="0" w:space="0" w:color="auto"/>
        <w:bottom w:val="none" w:sz="0" w:space="0" w:color="auto"/>
        <w:right w:val="none" w:sz="0" w:space="0" w:color="auto"/>
      </w:divBdr>
    </w:div>
    <w:div w:id="858199641">
      <w:bodyDiv w:val="1"/>
      <w:marLeft w:val="0"/>
      <w:marRight w:val="0"/>
      <w:marTop w:val="0"/>
      <w:marBottom w:val="0"/>
      <w:divBdr>
        <w:top w:val="none" w:sz="0" w:space="0" w:color="auto"/>
        <w:left w:val="none" w:sz="0" w:space="0" w:color="auto"/>
        <w:bottom w:val="none" w:sz="0" w:space="0" w:color="auto"/>
        <w:right w:val="none" w:sz="0" w:space="0" w:color="auto"/>
      </w:divBdr>
    </w:div>
    <w:div w:id="1061904804">
      <w:bodyDiv w:val="1"/>
      <w:marLeft w:val="0"/>
      <w:marRight w:val="0"/>
      <w:marTop w:val="0"/>
      <w:marBottom w:val="0"/>
      <w:divBdr>
        <w:top w:val="none" w:sz="0" w:space="0" w:color="auto"/>
        <w:left w:val="none" w:sz="0" w:space="0" w:color="auto"/>
        <w:bottom w:val="none" w:sz="0" w:space="0" w:color="auto"/>
        <w:right w:val="none" w:sz="0" w:space="0" w:color="auto"/>
      </w:divBdr>
    </w:div>
    <w:div w:id="1131286360">
      <w:bodyDiv w:val="1"/>
      <w:marLeft w:val="0"/>
      <w:marRight w:val="0"/>
      <w:marTop w:val="0"/>
      <w:marBottom w:val="0"/>
      <w:divBdr>
        <w:top w:val="none" w:sz="0" w:space="0" w:color="auto"/>
        <w:left w:val="none" w:sz="0" w:space="0" w:color="auto"/>
        <w:bottom w:val="none" w:sz="0" w:space="0" w:color="auto"/>
        <w:right w:val="none" w:sz="0" w:space="0" w:color="auto"/>
      </w:divBdr>
    </w:div>
    <w:div w:id="1383403836">
      <w:bodyDiv w:val="1"/>
      <w:marLeft w:val="0"/>
      <w:marRight w:val="0"/>
      <w:marTop w:val="0"/>
      <w:marBottom w:val="0"/>
      <w:divBdr>
        <w:top w:val="none" w:sz="0" w:space="0" w:color="auto"/>
        <w:left w:val="none" w:sz="0" w:space="0" w:color="auto"/>
        <w:bottom w:val="none" w:sz="0" w:space="0" w:color="auto"/>
        <w:right w:val="none" w:sz="0" w:space="0" w:color="auto"/>
      </w:divBdr>
    </w:div>
    <w:div w:id="1420590971">
      <w:bodyDiv w:val="1"/>
      <w:marLeft w:val="0"/>
      <w:marRight w:val="0"/>
      <w:marTop w:val="0"/>
      <w:marBottom w:val="0"/>
      <w:divBdr>
        <w:top w:val="none" w:sz="0" w:space="0" w:color="auto"/>
        <w:left w:val="none" w:sz="0" w:space="0" w:color="auto"/>
        <w:bottom w:val="none" w:sz="0" w:space="0" w:color="auto"/>
        <w:right w:val="none" w:sz="0" w:space="0" w:color="auto"/>
      </w:divBdr>
    </w:div>
    <w:div w:id="1539318136">
      <w:bodyDiv w:val="1"/>
      <w:marLeft w:val="0"/>
      <w:marRight w:val="0"/>
      <w:marTop w:val="0"/>
      <w:marBottom w:val="0"/>
      <w:divBdr>
        <w:top w:val="none" w:sz="0" w:space="0" w:color="auto"/>
        <w:left w:val="none" w:sz="0" w:space="0" w:color="auto"/>
        <w:bottom w:val="none" w:sz="0" w:space="0" w:color="auto"/>
        <w:right w:val="none" w:sz="0" w:space="0" w:color="auto"/>
      </w:divBdr>
    </w:div>
    <w:div w:id="1608853559">
      <w:bodyDiv w:val="1"/>
      <w:marLeft w:val="0"/>
      <w:marRight w:val="0"/>
      <w:marTop w:val="0"/>
      <w:marBottom w:val="0"/>
      <w:divBdr>
        <w:top w:val="none" w:sz="0" w:space="0" w:color="auto"/>
        <w:left w:val="none" w:sz="0" w:space="0" w:color="auto"/>
        <w:bottom w:val="none" w:sz="0" w:space="0" w:color="auto"/>
        <w:right w:val="none" w:sz="0" w:space="0" w:color="auto"/>
      </w:divBdr>
    </w:div>
    <w:div w:id="188405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3270</Words>
  <Characters>1864</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dc:creator>
  <cp:keywords/>
  <dc:description/>
  <cp:lastModifiedBy>Victor Rebenko</cp:lastModifiedBy>
  <cp:revision>3</cp:revision>
  <dcterms:created xsi:type="dcterms:W3CDTF">2025-10-23T17:40:00Z</dcterms:created>
  <dcterms:modified xsi:type="dcterms:W3CDTF">2025-11-03T15:50:00Z</dcterms:modified>
</cp:coreProperties>
</file>