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9F2BC" w14:textId="550A9B73" w:rsidR="001768C5" w:rsidRPr="001768C5" w:rsidRDefault="001768C5" w:rsidP="00C344E7">
      <w:pPr>
        <w:widowControl w:val="0"/>
        <w:spacing w:after="0" w:line="276" w:lineRule="auto"/>
        <w:jc w:val="both"/>
        <w:rPr>
          <w:bCs/>
        </w:rPr>
      </w:pPr>
      <w:r w:rsidRPr="001C5A0F">
        <w:rPr>
          <w:bCs/>
        </w:rPr>
        <w:t xml:space="preserve">УДК </w:t>
      </w:r>
      <w:r w:rsidR="0077112C" w:rsidRPr="0077112C">
        <w:rPr>
          <w:bCs/>
        </w:rPr>
        <w:t>631.362:004.94:519.63</w:t>
      </w:r>
    </w:p>
    <w:p w14:paraId="1F21ECFE" w14:textId="77777777" w:rsidR="001768C5" w:rsidRPr="001768C5" w:rsidRDefault="001768C5" w:rsidP="00C344E7">
      <w:pPr>
        <w:widowControl w:val="0"/>
        <w:spacing w:after="0" w:line="276" w:lineRule="auto"/>
        <w:jc w:val="both"/>
        <w:rPr>
          <w:bCs/>
        </w:rPr>
      </w:pPr>
    </w:p>
    <w:p w14:paraId="738D85D1" w14:textId="524CCA75" w:rsidR="001768C5" w:rsidRPr="001768C5" w:rsidRDefault="000B6EEE" w:rsidP="00C344E7">
      <w:pPr>
        <w:widowControl w:val="0"/>
        <w:spacing w:after="0" w:line="276" w:lineRule="auto"/>
        <w:jc w:val="center"/>
        <w:rPr>
          <w:b/>
          <w:bCs/>
        </w:rPr>
      </w:pPr>
      <w:r>
        <w:rPr>
          <w:b/>
          <w:bCs/>
        </w:rPr>
        <w:t xml:space="preserve">ФІЗИКО-МАТЕМАТИЧНИЙ АПАРАТ </w:t>
      </w:r>
      <w:r w:rsidRPr="0077112C">
        <w:rPr>
          <w:b/>
          <w:bCs/>
        </w:rPr>
        <w:t>СИМУЛЯЦІ</w:t>
      </w:r>
      <w:r>
        <w:rPr>
          <w:b/>
          <w:bCs/>
        </w:rPr>
        <w:t>Ї</w:t>
      </w:r>
      <w:r w:rsidRPr="0077112C">
        <w:rPr>
          <w:b/>
          <w:bCs/>
        </w:rPr>
        <w:t xml:space="preserve"> МЕХАНІКО-ТЕХНОЛОГІЧНИХ ПРОЦЕСІВ </w:t>
      </w:r>
      <w:r>
        <w:rPr>
          <w:b/>
          <w:bCs/>
        </w:rPr>
        <w:t>КОРМОВИРОБНИЦТВА</w:t>
      </w:r>
      <w:r w:rsidRPr="0077112C">
        <w:rPr>
          <w:b/>
          <w:bCs/>
        </w:rPr>
        <w:t xml:space="preserve"> МЕТОДОМ ДИСКРЕТНИХ ЕЛЕМЕНТІВ</w:t>
      </w:r>
    </w:p>
    <w:p w14:paraId="17538FF3" w14:textId="77777777" w:rsidR="001768C5" w:rsidRPr="001768C5" w:rsidRDefault="001768C5" w:rsidP="00C344E7">
      <w:pPr>
        <w:widowControl w:val="0"/>
        <w:spacing w:after="0" w:line="276" w:lineRule="auto"/>
        <w:jc w:val="center"/>
        <w:rPr>
          <w:b/>
          <w:bCs/>
        </w:rPr>
      </w:pPr>
    </w:p>
    <w:p w14:paraId="7BC61BD7" w14:textId="62C2669B" w:rsidR="001768C5" w:rsidRPr="0070199C" w:rsidRDefault="0077112C" w:rsidP="00C344E7">
      <w:pPr>
        <w:widowControl w:val="0"/>
        <w:spacing w:after="0" w:line="276" w:lineRule="auto"/>
        <w:jc w:val="center"/>
        <w:rPr>
          <w:vertAlign w:val="superscript"/>
        </w:rPr>
      </w:pPr>
      <w:r>
        <w:rPr>
          <w:b/>
        </w:rPr>
        <w:t>Алієв</w:t>
      </w:r>
      <w:r w:rsidR="0093566C" w:rsidRPr="0093566C">
        <w:rPr>
          <w:b/>
        </w:rPr>
        <w:t xml:space="preserve"> </w:t>
      </w:r>
      <w:r>
        <w:rPr>
          <w:b/>
        </w:rPr>
        <w:t>Е</w:t>
      </w:r>
      <w:r w:rsidR="0093566C" w:rsidRPr="003B6620">
        <w:rPr>
          <w:b/>
        </w:rPr>
        <w:t xml:space="preserve">. </w:t>
      </w:r>
      <w:r>
        <w:rPr>
          <w:b/>
        </w:rPr>
        <w:t>Б</w:t>
      </w:r>
      <w:r w:rsidR="0093566C" w:rsidRPr="003B6620">
        <w:rPr>
          <w:b/>
        </w:rPr>
        <w:t>.</w:t>
      </w:r>
      <w:r w:rsidR="003B6620">
        <w:t>,</w:t>
      </w:r>
      <w:r w:rsidR="003B6620" w:rsidRPr="003B6620">
        <w:t xml:space="preserve"> </w:t>
      </w:r>
      <w:r>
        <w:t>доктор технічних наук</w:t>
      </w:r>
      <w:r w:rsidR="0070199C">
        <w:rPr>
          <w:lang w:val="en-US"/>
        </w:rPr>
        <w:t xml:space="preserve">, </w:t>
      </w:r>
      <w:r>
        <w:t>старший дослідник</w:t>
      </w:r>
    </w:p>
    <w:p w14:paraId="7A26FAA4" w14:textId="0311E357" w:rsidR="001768C5" w:rsidRDefault="003B6620" w:rsidP="00C344E7">
      <w:pPr>
        <w:widowControl w:val="0"/>
        <w:spacing w:after="0" w:line="276" w:lineRule="auto"/>
        <w:jc w:val="center"/>
        <w:rPr>
          <w:i/>
          <w:iCs/>
        </w:rPr>
      </w:pPr>
      <w:r w:rsidRPr="003B6620">
        <w:rPr>
          <w:i/>
          <w:iCs/>
        </w:rPr>
        <w:t>Дніпровський державний аграрно-економічний університет</w:t>
      </w:r>
      <w:r>
        <w:rPr>
          <w:i/>
          <w:iCs/>
        </w:rPr>
        <w:t xml:space="preserve"> </w:t>
      </w:r>
    </w:p>
    <w:p w14:paraId="678EE469" w14:textId="683A582C" w:rsidR="00572386" w:rsidRPr="00572386" w:rsidRDefault="0077112C" w:rsidP="00C344E7">
      <w:pPr>
        <w:widowControl w:val="0"/>
        <w:spacing w:after="0" w:line="276" w:lineRule="auto"/>
        <w:jc w:val="center"/>
        <w:rPr>
          <w:i/>
          <w:iCs/>
          <w:lang w:val="en-US"/>
        </w:rPr>
      </w:pPr>
      <w:r>
        <w:rPr>
          <w:i/>
          <w:iCs/>
          <w:lang w:val="en-US"/>
        </w:rPr>
        <w:t>aliiev</w:t>
      </w:r>
      <w:r w:rsidR="0070199C" w:rsidRPr="0070199C">
        <w:rPr>
          <w:i/>
          <w:iCs/>
          <w:lang w:val="en-US"/>
        </w:rPr>
        <w:t>@</w:t>
      </w:r>
      <w:r>
        <w:rPr>
          <w:i/>
          <w:iCs/>
          <w:lang w:val="en-US"/>
        </w:rPr>
        <w:t>meta</w:t>
      </w:r>
      <w:r w:rsidR="0070199C" w:rsidRPr="0070199C">
        <w:rPr>
          <w:i/>
          <w:iCs/>
          <w:lang w:val="en-US"/>
        </w:rPr>
        <w:t>.</w:t>
      </w:r>
      <w:r>
        <w:rPr>
          <w:i/>
          <w:iCs/>
          <w:lang w:val="en-US"/>
        </w:rPr>
        <w:t>ua</w:t>
      </w:r>
    </w:p>
    <w:p w14:paraId="24672105" w14:textId="77777777" w:rsidR="00A07F69" w:rsidRPr="00A07F69" w:rsidRDefault="00A07F69" w:rsidP="00C344E7">
      <w:pPr>
        <w:widowControl w:val="0"/>
        <w:spacing w:after="0" w:line="276" w:lineRule="auto"/>
        <w:ind w:firstLine="709"/>
        <w:jc w:val="both"/>
      </w:pPr>
    </w:p>
    <w:p w14:paraId="145E0702" w14:textId="3D770614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  <w:lang w:val="en-US"/>
        </w:rPr>
      </w:pPr>
      <w:r w:rsidRPr="0077112C">
        <w:rPr>
          <w:spacing w:val="-2"/>
        </w:rPr>
        <w:t xml:space="preserve">Сучасне </w:t>
      </w:r>
      <w:proofErr w:type="spellStart"/>
      <w:r w:rsidRPr="0077112C">
        <w:rPr>
          <w:spacing w:val="-2"/>
        </w:rPr>
        <w:t>кормовиробництво</w:t>
      </w:r>
      <w:proofErr w:type="spellEnd"/>
      <w:r w:rsidRPr="0077112C">
        <w:rPr>
          <w:spacing w:val="-2"/>
        </w:rPr>
        <w:t xml:space="preserve"> характеризується високим рівнем механізації та автоматизації, що зумовлює необхідність глибокого вивчення механіко-технологічних процесів переробки та підготовки кормів. Від ефективності цих процесів залежить якість готової продукції, енергоємність технологій та довговічність обладнання. Традиційні методи експериментальних досліджень дозволяють отримати важливу інформацію про роботу машин і знарядь, однак вони потребують значних матеріальних і часових витрат та не завжди дають можливість відстежити детальну картину руху частинок у робочих органах</w:t>
      </w:r>
      <w:r w:rsidRPr="0077112C">
        <w:rPr>
          <w:spacing w:val="-2"/>
          <w:lang w:val="en-US"/>
        </w:rPr>
        <w:t xml:space="preserve"> [1–2]</w:t>
      </w:r>
      <w:r w:rsidRPr="0077112C">
        <w:rPr>
          <w:spacing w:val="-2"/>
        </w:rPr>
        <w:t>.</w:t>
      </w:r>
    </w:p>
    <w:p w14:paraId="7D9E4923" w14:textId="65E29045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  <w:rPr>
          <w:lang w:val="en-US"/>
        </w:rPr>
      </w:pPr>
      <w:r>
        <w:t>У цьому контексті дедалі більшої актуальності набувають комп’ютерні методи моделювання, зокрема метод дискретних елементів (DEM). Його використання відкриває нові можливості для аналізу динаміки сипких матеріалів, що є характерними для процесів подрібнення, змішування, транспортування та дозування кормів. DEM дає змогу описувати поведінку окремих частинок з урахуванням їхньої форми, розмірів, сил взаємодії та умов контакту, що робить його ефективним інструментом для оптимізації конструкцій машин і вдосконалення технологічних схем</w:t>
      </w:r>
      <w:r>
        <w:rPr>
          <w:lang w:val="en-US"/>
        </w:rPr>
        <w:t xml:space="preserve"> [3–4]</w:t>
      </w:r>
      <w:r>
        <w:t>.</w:t>
      </w:r>
    </w:p>
    <w:p w14:paraId="2B5A4E6B" w14:textId="5207D42B" w:rsid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>
        <w:t>Застосування методу дискретних елементів у дослідженнях кормовиробництва дозволяє прогнозувати вплив робочих параметрів обладнання на якість кінцевого продукту, визначати критичні режими роботи та мінімізувати енергетичні витрати. Це сприяє створенню більш надійних і ресурсозберігаючих технологій у тваринницькій галузі, що відповідає сучасним вимогам сталого розвитку та раціонального використання ресурсів.</w:t>
      </w:r>
    </w:p>
    <w:p w14:paraId="062804FD" w14:textId="0130850D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77112C">
        <w:t xml:space="preserve">Для реалізації сучасних принципів аграрного машинобудування, згідно підручника </w:t>
      </w:r>
      <w:r>
        <w:rPr>
          <w:lang w:val="en-US"/>
        </w:rPr>
        <w:t>[5]</w:t>
      </w:r>
      <w:r w:rsidRPr="0077112C">
        <w:t xml:space="preserve">, програмний продукт CAЕ-системи Simcenter STAR-CCM+ дозволяє виконувати наукові дослідження на більш високому рівні, що скорочує час на проведення і підготовку до експериментальних досліджень розроблених технічних засобів за рахунок чисельного моделювання процесу на персональному комп’ютері. </w:t>
      </w:r>
    </w:p>
    <w:p w14:paraId="76041595" w14:textId="4CE91567" w:rsid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77112C">
        <w:t xml:space="preserve">Узагальнена методика проведення чисельного моделювання включає наступні етапи (рис. 1): концепція (конструктивно-технологічна схема) технічного засобу (робочого органу); визначення основних геометричних </w:t>
      </w:r>
      <w:r w:rsidRPr="0077112C">
        <w:lastRenderedPageBreak/>
        <w:t>розмірів технічного засобу (робочого органу); створення 3D-моделі технічного засобу (робочого органу) в CAD-системі; визначення фізико-механічних властивостей середовища з яким взаємодіє технічний засіб (робочий орган); аналіз технологічного процесу; створення моделі в CAE-системі; визначення факторів чисельного моделювання; визначення критеріїв чисельного моделювання; планування чисельного експерименту; проведення моделювання; кореляційний, дисперсійний, регресійний аналізи результатів моделювання; статистичний аналіз адекватності отриманих результатів моделювання.</w:t>
      </w:r>
    </w:p>
    <w:p w14:paraId="41F9F2CE" w14:textId="6A2F3BBE" w:rsidR="001F1F45" w:rsidRPr="001F1F45" w:rsidRDefault="001F1F45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1F1F45">
        <w:t xml:space="preserve">Процес взаємодії робочих органів сільськогосподарських машин із гранульованими матеріалами (насіння, компонентів комбікормів тощо) можна описати з використанням методу дискретних елементів (DEM). Згідно книги </w:t>
      </w:r>
      <w:r w:rsidRPr="001F1F45">
        <w:rPr>
          <w:lang w:val="en-US"/>
        </w:rPr>
        <w:t>[</w:t>
      </w:r>
      <w:r w:rsidR="003E3A42">
        <w:t>5</w:t>
      </w:r>
      <w:r w:rsidRPr="001F1F45">
        <w:rPr>
          <w:lang w:val="en-US"/>
        </w:rPr>
        <w:t>]</w:t>
      </w:r>
      <w:r w:rsidRPr="001F1F45">
        <w:t xml:space="preserve"> створена Джонсоном-</w:t>
      </w:r>
      <w:proofErr w:type="spellStart"/>
      <w:r w:rsidRPr="001F1F45">
        <w:t>Кендаллом</w:t>
      </w:r>
      <w:proofErr w:type="spellEnd"/>
      <w:r w:rsidRPr="001F1F45">
        <w:t>-Робертом, модель DEM є розширенням методології моделювання Лагранжа для включення щільних потоків частинок. Відмінною характеристикою DEM є те, що контактні сили між частинками включені в рівняння руху. Simcenter STAR-CCM+ використовує метод класичної механіки для моделювання DEM і базується на формулі пружино-демпферної контактної моделі Герца-Міндліна, де частинкам дозволяється розвивати перекриття. Розрахована контактна сила пропорційна перекриттю, а також фізико-механічним властивостям матеріалу частинок і геометричним розмірам.</w:t>
      </w:r>
    </w:p>
    <w:p w14:paraId="24E7010A" w14:textId="77777777" w:rsid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</w:p>
    <w:p w14:paraId="15BCEC91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center"/>
      </w:pPr>
      <w:r w:rsidRPr="0077112C">
        <w:rPr>
          <w:noProof/>
        </w:rPr>
        <w:drawing>
          <wp:inline distT="0" distB="0" distL="0" distR="0" wp14:anchorId="77AB3F3F" wp14:editId="7FA64F4A">
            <wp:extent cx="6332220" cy="428726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4287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C3ED6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center"/>
      </w:pPr>
    </w:p>
    <w:p w14:paraId="35934826" w14:textId="10CE55E9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center"/>
        <w:rPr>
          <w:bCs/>
        </w:rPr>
      </w:pPr>
      <w:r w:rsidRPr="0077112C">
        <w:rPr>
          <w:bCs/>
        </w:rPr>
        <w:t>Рисунок 1 –</w:t>
      </w:r>
      <w:r w:rsidRPr="0077112C">
        <w:t xml:space="preserve"> Узагальнена методика проведення чисельного моделювання</w:t>
      </w:r>
    </w:p>
    <w:p w14:paraId="3283FE54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</w:p>
    <w:p w14:paraId="5415C149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77112C">
        <w:t xml:space="preserve">Для визначення </w:t>
      </w:r>
      <w:bookmarkStart w:id="0" w:name="_Hlk105155514"/>
      <w:r w:rsidRPr="0077112C">
        <w:t xml:space="preserve">сили </w:t>
      </w:r>
      <w:bookmarkStart w:id="1" w:name="_Hlk126960714"/>
      <w:r w:rsidRPr="0077112C">
        <w:t xml:space="preserve">контактної взаємодії частинок </w:t>
      </w:r>
      <w:bookmarkEnd w:id="1"/>
      <w:r w:rsidRPr="0077112C">
        <w:t xml:space="preserve">між собою методом </w:t>
      </w:r>
      <w:bookmarkEnd w:id="0"/>
      <w:r w:rsidRPr="0077112C">
        <w:t>DEM складено відповідну розрахункову схему (рис. 2).</w:t>
      </w:r>
    </w:p>
    <w:p w14:paraId="61A500AF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</w:p>
    <w:p w14:paraId="12181A62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center"/>
      </w:pPr>
      <w:r w:rsidRPr="0077112C">
        <w:rPr>
          <w:noProof/>
        </w:rPr>
        <w:drawing>
          <wp:inline distT="0" distB="0" distL="0" distR="0" wp14:anchorId="2A3CD061" wp14:editId="7A12F4DF">
            <wp:extent cx="5943600" cy="212344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8EF27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center"/>
      </w:pPr>
    </w:p>
    <w:p w14:paraId="6EBB84EE" w14:textId="744D82B9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center"/>
      </w:pPr>
      <w:r w:rsidRPr="0077112C">
        <w:rPr>
          <w:bCs/>
        </w:rPr>
        <w:t>Рисунок 2 –</w:t>
      </w:r>
      <w:r w:rsidRPr="0077112C">
        <w:t xml:space="preserve"> Розрахункова схема сил контактної взаємодії компонентів корму між собою</w:t>
      </w:r>
    </w:p>
    <w:p w14:paraId="351CF44F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</w:p>
    <w:p w14:paraId="32D545DA" w14:textId="77777777" w:rsidR="0077112C" w:rsidRP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77112C">
        <w:t xml:space="preserve">Згідно з пружно-демпферною контактною моделлю Герца-Міндліна сумарна сила контактної взаємодії компонентів корму між собою визначається так: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77112C" w:rsidRPr="0077112C" w14:paraId="1F274B73" w14:textId="77777777" w:rsidTr="001F1F45">
        <w:tc>
          <w:tcPr>
            <w:tcW w:w="8715" w:type="dxa"/>
            <w:shd w:val="clear" w:color="auto" w:fill="auto"/>
            <w:vAlign w:val="center"/>
          </w:tcPr>
          <w:p w14:paraId="289CF50A" w14:textId="77777777" w:rsidR="0077112C" w:rsidRPr="0077112C" w:rsidRDefault="0077112C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object w:dxaOrig="3379" w:dyaOrig="580" w14:anchorId="6AADD63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1.75pt;height:28.5pt" o:ole="">
                  <v:imagedata r:id="rId9" o:title=""/>
                </v:shape>
                <o:OLEObject Type="Embed" ProgID="Equation.DSMT4" ShapeID="_x0000_i1025" DrawAspect="Content" ObjectID="_1819617074" r:id="rId10"/>
              </w:object>
            </w:r>
            <w:r w:rsidRPr="0077112C">
              <w:t>,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2871571A" w14:textId="57193810" w:rsidR="0077112C" w:rsidRPr="0077112C" w:rsidRDefault="0077112C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bookmarkStart w:id="2" w:name="_Ref532141888"/>
            <w:r w:rsidRPr="0077112C">
              <w:t>(</w:t>
            </w:r>
            <w:r w:rsidR="001F1F45">
              <w:t>1</w:t>
            </w:r>
            <w:r w:rsidRPr="0077112C">
              <w:t>)</w:t>
            </w:r>
            <w:bookmarkEnd w:id="2"/>
          </w:p>
        </w:tc>
      </w:tr>
    </w:tbl>
    <w:p w14:paraId="0A01D03D" w14:textId="3C5415B6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both"/>
      </w:pPr>
      <w:r w:rsidRPr="0077112C">
        <w:t xml:space="preserve">де </w:t>
      </w:r>
      <w:r w:rsidR="001F1F45" w:rsidRPr="00A51397">
        <w:rPr>
          <w:position w:val="-12"/>
        </w:rPr>
        <w:object w:dxaOrig="880" w:dyaOrig="499" w14:anchorId="1B4D784B">
          <v:shape id="_x0000_i1026" type="#_x0000_t75" style="width:44.25pt;height:24.75pt" o:ole="">
            <v:imagedata r:id="rId11" o:title=""/>
          </v:shape>
          <o:OLEObject Type="Embed" ProgID="Equation.DSMT4" ShapeID="_x0000_i1026" DrawAspect="Content" ObjectID="_1819617075" r:id="rId12"/>
        </w:object>
      </w:r>
      <w:r w:rsidRPr="0077112C">
        <w:t xml:space="preserve"> – сила взаємодії між частинками ij та (i+1)j, Н;</w:t>
      </w:r>
      <w:r w:rsidR="001F1F45">
        <w:t xml:space="preserve"> </w:t>
      </w:r>
      <w:r w:rsidR="001F1F45" w:rsidRPr="00A51397">
        <w:rPr>
          <w:position w:val="-20"/>
        </w:rPr>
        <w:object w:dxaOrig="840" w:dyaOrig="499" w14:anchorId="6B52BFEF">
          <v:shape id="_x0000_i1027" type="#_x0000_t75" style="width:42pt;height:24.75pt" o:ole="">
            <v:imagedata r:id="rId13" o:title=""/>
          </v:shape>
          <o:OLEObject Type="Embed" ProgID="Equation.DSMT4" ShapeID="_x0000_i1027" DrawAspect="Content" ObjectID="_1819617076" r:id="rId14"/>
        </w:object>
      </w:r>
      <w:r w:rsidRPr="0077112C">
        <w:t xml:space="preserve"> – нормальний складник сили між частинками ij та (i+1)j, Н;</w:t>
      </w:r>
      <w:r w:rsidR="001F1F45">
        <w:t xml:space="preserve"> </w:t>
      </w:r>
      <w:r w:rsidR="001F1F45" w:rsidRPr="00A51397">
        <w:rPr>
          <w:position w:val="-20"/>
        </w:rPr>
        <w:object w:dxaOrig="840" w:dyaOrig="499" w14:anchorId="3DDE4889">
          <v:shape id="_x0000_i1028" type="#_x0000_t75" style="width:42pt;height:24.75pt" o:ole="">
            <v:imagedata r:id="rId15" o:title=""/>
          </v:shape>
          <o:OLEObject Type="Embed" ProgID="Equation.DSMT4" ShapeID="_x0000_i1028" DrawAspect="Content" ObjectID="_1819617077" r:id="rId16"/>
        </w:object>
      </w:r>
      <w:r w:rsidRPr="0077112C">
        <w:t xml:space="preserve"> – тангенціальний складник сили між частинками ij та (i+1)j, Н;</w:t>
      </w:r>
      <w:r w:rsidR="001F1F45">
        <w:t xml:space="preserve"> </w:t>
      </w:r>
      <w:r w:rsidR="001F1F45" w:rsidRPr="00A51397">
        <w:rPr>
          <w:position w:val="-4"/>
        </w:rPr>
        <w:object w:dxaOrig="220" w:dyaOrig="360" w14:anchorId="53354CDF">
          <v:shape id="_x0000_i1029" type="#_x0000_t75" style="width:11.25pt;height:18pt" o:ole="">
            <v:imagedata r:id="rId17" o:title=""/>
          </v:shape>
          <o:OLEObject Type="Embed" ProgID="Equation.DSMT4" ShapeID="_x0000_i1029" DrawAspect="Content" ObjectID="_1819617078" r:id="rId18"/>
        </w:object>
      </w:r>
      <w:r w:rsidRPr="0077112C">
        <w:t xml:space="preserve">, </w:t>
      </w:r>
      <w:r w:rsidR="001F1F45" w:rsidRPr="00A51397">
        <w:rPr>
          <w:position w:val="-6"/>
        </w:rPr>
        <w:object w:dxaOrig="160" w:dyaOrig="380" w14:anchorId="3DFA09BB">
          <v:shape id="_x0000_i1030" type="#_x0000_t75" style="width:8.25pt;height:18.75pt" o:ole="">
            <v:imagedata r:id="rId19" o:title=""/>
          </v:shape>
          <o:OLEObject Type="Embed" ProgID="Equation.DSMT4" ShapeID="_x0000_i1030" DrawAspect="Content" ObjectID="_1819617079" r:id="rId20"/>
        </w:object>
      </w:r>
      <w:r w:rsidRPr="0077112C">
        <w:t xml:space="preserve"> – одиничні вектори нормального й тангенціального напрямів відповідно.</w:t>
      </w:r>
    </w:p>
    <w:p w14:paraId="029E6731" w14:textId="65A13222" w:rsid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77112C">
        <w:t>Нормальний складник сили визначається таким рівнянням: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6F2F64B6" w14:textId="77777777" w:rsidTr="00A51397">
        <w:tc>
          <w:tcPr>
            <w:tcW w:w="8715" w:type="dxa"/>
            <w:shd w:val="clear" w:color="auto" w:fill="auto"/>
            <w:vAlign w:val="center"/>
          </w:tcPr>
          <w:p w14:paraId="0BDC4483" w14:textId="20C43CA0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0"/>
              </w:rPr>
              <w:object w:dxaOrig="4940" w:dyaOrig="499" w14:anchorId="53773F4D">
                <v:shape id="_x0000_i1031" type="#_x0000_t75" style="width:246.75pt;height:24.75pt" o:ole="">
                  <v:imagedata r:id="rId21" o:title=""/>
                </v:shape>
                <o:OLEObject Type="Embed" ProgID="Equation.DSMT4" ShapeID="_x0000_i1031" DrawAspect="Content" ObjectID="_1819617080" r:id="rId22"/>
              </w:object>
            </w:r>
            <w:r w:rsidRPr="0077112C">
              <w:t>,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1C3D1A87" w14:textId="47FF750E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2</w:t>
            </w:r>
            <w:r w:rsidRPr="0077112C">
              <w:t>)</w:t>
            </w:r>
          </w:p>
        </w:tc>
      </w:tr>
    </w:tbl>
    <w:p w14:paraId="68E6EBDA" w14:textId="2E3A8216" w:rsidR="0077112C" w:rsidRDefault="0077112C" w:rsidP="00C344E7">
      <w:pPr>
        <w:widowControl w:val="0"/>
        <w:shd w:val="clear" w:color="auto" w:fill="FFFFFF"/>
        <w:spacing w:after="0" w:line="276" w:lineRule="auto"/>
        <w:jc w:val="both"/>
      </w:pPr>
      <w:r w:rsidRPr="0077112C">
        <w:t xml:space="preserve">де </w:t>
      </w:r>
      <w:r w:rsidR="001F1F45" w:rsidRPr="00A51397">
        <w:rPr>
          <w:position w:val="-20"/>
        </w:rPr>
        <w:object w:dxaOrig="940" w:dyaOrig="499" w14:anchorId="23BB5751">
          <v:shape id="_x0000_i1032" type="#_x0000_t75" style="width:47.25pt;height:24.75pt" o:ole="">
            <v:imagedata r:id="rId23" o:title=""/>
          </v:shape>
          <o:OLEObject Type="Embed" ProgID="Equation.DSMT4" ShapeID="_x0000_i1032" DrawAspect="Content" ObjectID="_1819617081" r:id="rId24"/>
        </w:object>
      </w:r>
      <w:r w:rsidRPr="0077112C">
        <w:t xml:space="preserve"> – нормальний коефіцієнт жорсткості пружної складової, кг/с</w:t>
      </w:r>
      <w:r w:rsidRPr="0077112C">
        <w:rPr>
          <w:vertAlign w:val="superscript"/>
        </w:rPr>
        <w:t>2</w:t>
      </w:r>
      <w:r w:rsidRPr="0077112C"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2958419C" w14:textId="77777777" w:rsidTr="00A51397">
        <w:tc>
          <w:tcPr>
            <w:tcW w:w="8715" w:type="dxa"/>
            <w:shd w:val="clear" w:color="auto" w:fill="auto"/>
            <w:vAlign w:val="center"/>
          </w:tcPr>
          <w:p w14:paraId="44595802" w14:textId="707AB499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8"/>
              </w:rPr>
              <w:object w:dxaOrig="4180" w:dyaOrig="720" w14:anchorId="137AFE4E">
                <v:shape id="_x0000_i1033" type="#_x0000_t75" style="width:209.25pt;height:36pt" o:ole="">
                  <v:imagedata r:id="rId25" o:title=""/>
                </v:shape>
                <o:OLEObject Type="Embed" ProgID="Equation.DSMT4" ShapeID="_x0000_i1033" DrawAspect="Content" ObjectID="_1819617082" r:id="rId26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329215BA" w14:textId="733F2481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3</w:t>
            </w:r>
            <w:r w:rsidRPr="0077112C">
              <w:t>)</w:t>
            </w:r>
          </w:p>
        </w:tc>
      </w:tr>
    </w:tbl>
    <w:p w14:paraId="4041133E" w14:textId="2E6F4F9D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A51397">
        <w:rPr>
          <w:position w:val="-20"/>
        </w:rPr>
        <w:object w:dxaOrig="940" w:dyaOrig="499" w14:anchorId="03520FBB">
          <v:shape id="_x0000_i1034" type="#_x0000_t75" style="width:47.25pt;height:24.75pt" o:ole="">
            <v:imagedata r:id="rId27" o:title=""/>
          </v:shape>
          <o:OLEObject Type="Embed" ProgID="Equation.DSMT4" ShapeID="_x0000_i1034" DrawAspect="Content" ObjectID="_1819617083" r:id="rId28"/>
        </w:object>
      </w:r>
      <w:r w:rsidR="0077112C" w:rsidRPr="0077112C">
        <w:t xml:space="preserve"> – нормальний коефіцієнт згасання демпферного складника, кг/с: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070B92F9" w14:textId="77777777" w:rsidTr="00A51397">
        <w:tc>
          <w:tcPr>
            <w:tcW w:w="8715" w:type="dxa"/>
            <w:shd w:val="clear" w:color="auto" w:fill="auto"/>
            <w:vAlign w:val="center"/>
          </w:tcPr>
          <w:p w14:paraId="3CAC8F41" w14:textId="6A7661C6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4"/>
              </w:rPr>
              <w:object w:dxaOrig="4300" w:dyaOrig="660" w14:anchorId="4C8376EE">
                <v:shape id="_x0000_i1035" type="#_x0000_t75" style="width:215.25pt;height:33pt" o:ole="">
                  <v:imagedata r:id="rId29" o:title=""/>
                </v:shape>
                <o:OLEObject Type="Embed" ProgID="Equation.DSMT4" ShapeID="_x0000_i1035" DrawAspect="Content" ObjectID="_1819617084" r:id="rId30"/>
              </w:object>
            </w:r>
            <w:r w:rsidRPr="0077112C">
              <w:t>.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43008C1A" w14:textId="67857453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4</w:t>
            </w:r>
            <w:r w:rsidRPr="0077112C">
              <w:t>)</w:t>
            </w:r>
          </w:p>
        </w:tc>
      </w:tr>
    </w:tbl>
    <w:p w14:paraId="37D65792" w14:textId="2641A6FB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77112C">
        <w:t xml:space="preserve">Тангенціальний </w:t>
      </w:r>
      <w:r w:rsidR="0077112C" w:rsidRPr="0077112C">
        <w:t>складник сили визначається, як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7A5615D2" w14:textId="77777777" w:rsidTr="00A51397">
        <w:tc>
          <w:tcPr>
            <w:tcW w:w="8715" w:type="dxa"/>
            <w:shd w:val="clear" w:color="auto" w:fill="auto"/>
            <w:vAlign w:val="center"/>
          </w:tcPr>
          <w:p w14:paraId="6F8B9646" w14:textId="2C11EF74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0"/>
              </w:rPr>
              <w:object w:dxaOrig="4940" w:dyaOrig="499" w14:anchorId="7BEC1C98">
                <v:shape id="_x0000_i1036" type="#_x0000_t75" style="width:246.75pt;height:24.75pt" o:ole="">
                  <v:imagedata r:id="rId31" o:title=""/>
                </v:shape>
                <o:OLEObject Type="Embed" ProgID="Equation.DSMT4" ShapeID="_x0000_i1036" DrawAspect="Content" ObjectID="_1819617085" r:id="rId32"/>
              </w:object>
            </w:r>
            <w:r w:rsidRPr="0077112C">
              <w:t>,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5910F364" w14:textId="7884965D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5</w:t>
            </w:r>
            <w:r w:rsidRPr="0077112C">
              <w:t>)</w:t>
            </w:r>
          </w:p>
        </w:tc>
      </w:tr>
    </w:tbl>
    <w:p w14:paraId="07CCF5CF" w14:textId="118977F5" w:rsidR="0077112C" w:rsidRDefault="0077112C" w:rsidP="00C344E7">
      <w:pPr>
        <w:widowControl w:val="0"/>
        <w:shd w:val="clear" w:color="auto" w:fill="FFFFFF"/>
        <w:spacing w:after="0" w:line="276" w:lineRule="auto"/>
        <w:jc w:val="both"/>
      </w:pPr>
      <w:r w:rsidRPr="0077112C">
        <w:t xml:space="preserve">якщо </w:t>
      </w:r>
      <w:r w:rsidR="001F1F45" w:rsidRPr="00A51397">
        <w:rPr>
          <w:position w:val="-22"/>
        </w:rPr>
        <w:object w:dxaOrig="4220" w:dyaOrig="580" w14:anchorId="44CCFAD6">
          <v:shape id="_x0000_i1037" type="#_x0000_t75" style="width:210.75pt;height:28.5pt" o:ole="">
            <v:imagedata r:id="rId33" o:title=""/>
          </v:shape>
          <o:OLEObject Type="Embed" ProgID="Equation.DSMT4" ShapeID="_x0000_i1037" DrawAspect="Content" ObjectID="_1819617086" r:id="rId34"/>
        </w:object>
      </w:r>
      <w:r w:rsidRPr="0077112C">
        <w:t xml:space="preserve">, де </w:t>
      </w:r>
      <w:proofErr w:type="spellStart"/>
      <w:r w:rsidRPr="0077112C">
        <w:t>С</w:t>
      </w:r>
      <w:r w:rsidRPr="0077112C">
        <w:rPr>
          <w:vertAlign w:val="subscript"/>
        </w:rPr>
        <w:t>fs</w:t>
      </w:r>
      <w:proofErr w:type="spellEnd"/>
      <w:r w:rsidRPr="0077112C">
        <w:t xml:space="preserve"> – статистичний коефіцієнт тертя </w:t>
      </w:r>
      <w:r w:rsidRPr="0077112C">
        <w:lastRenderedPageBreak/>
        <w:t>між частинками компонентів корму. В іншому випадку тангенціальний складник сили визначається таким рівнянням: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048D6D59" w14:textId="77777777" w:rsidTr="00A51397">
        <w:tc>
          <w:tcPr>
            <w:tcW w:w="8715" w:type="dxa"/>
            <w:shd w:val="clear" w:color="auto" w:fill="auto"/>
            <w:vAlign w:val="center"/>
          </w:tcPr>
          <w:p w14:paraId="2BAB0EFC" w14:textId="620029AA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48"/>
              </w:rPr>
              <w:object w:dxaOrig="4099" w:dyaOrig="1100" w14:anchorId="394688F0">
                <v:shape id="_x0000_i1038" type="#_x0000_t75" style="width:204.75pt;height:54.75pt" o:ole="">
                  <v:imagedata r:id="rId35" o:title=""/>
                </v:shape>
                <o:OLEObject Type="Embed" ProgID="Equation.DSMT4" ShapeID="_x0000_i1038" DrawAspect="Content" ObjectID="_1819617087" r:id="rId36"/>
              </w:object>
            </w:r>
            <w:r w:rsidRPr="0077112C">
              <w:t>,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5C6AB422" w14:textId="1FFC3690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6</w:t>
            </w:r>
            <w:r w:rsidRPr="0077112C">
              <w:t>)</w:t>
            </w:r>
          </w:p>
        </w:tc>
      </w:tr>
    </w:tbl>
    <w:p w14:paraId="071EC73F" w14:textId="5C6B441A" w:rsidR="0077112C" w:rsidRDefault="0077112C" w:rsidP="00C344E7">
      <w:pPr>
        <w:widowControl w:val="0"/>
        <w:shd w:val="clear" w:color="auto" w:fill="FFFFFF"/>
        <w:spacing w:after="0" w:line="276" w:lineRule="auto"/>
        <w:jc w:val="both"/>
      </w:pPr>
      <w:r w:rsidRPr="0077112C">
        <w:t>де</w:t>
      </w:r>
      <w:r w:rsidR="001F1F45">
        <w:t xml:space="preserve"> </w:t>
      </w:r>
      <w:r w:rsidR="001F1F45" w:rsidRPr="00A51397">
        <w:rPr>
          <w:position w:val="-20"/>
        </w:rPr>
        <w:object w:dxaOrig="940" w:dyaOrig="499" w14:anchorId="16108058">
          <v:shape id="_x0000_i1039" type="#_x0000_t75" style="width:47.25pt;height:24.75pt" o:ole="">
            <v:imagedata r:id="rId37" o:title=""/>
          </v:shape>
          <o:OLEObject Type="Embed" ProgID="Equation.DSMT4" ShapeID="_x0000_i1039" DrawAspect="Content" ObjectID="_1819617088" r:id="rId38"/>
        </w:object>
      </w:r>
      <w:r w:rsidRPr="0077112C">
        <w:t xml:space="preserve"> – тангенціальний коефіцієнт жорсткості пружного складника, кг/с</w:t>
      </w:r>
      <w:r w:rsidRPr="0077112C">
        <w:rPr>
          <w:vertAlign w:val="superscript"/>
        </w:rPr>
        <w:t>2</w:t>
      </w:r>
      <w:r w:rsidRPr="0077112C"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09F33C78" w14:textId="77777777" w:rsidTr="00A51397">
        <w:tc>
          <w:tcPr>
            <w:tcW w:w="8715" w:type="dxa"/>
            <w:shd w:val="clear" w:color="auto" w:fill="auto"/>
            <w:vAlign w:val="center"/>
          </w:tcPr>
          <w:p w14:paraId="36B58E22" w14:textId="2E385A16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2"/>
              </w:rPr>
              <w:object w:dxaOrig="4120" w:dyaOrig="580" w14:anchorId="62388AF9">
                <v:shape id="_x0000_i1040" type="#_x0000_t75" style="width:205.5pt;height:28.5pt" o:ole="">
                  <v:imagedata r:id="rId39" o:title=""/>
                </v:shape>
                <o:OLEObject Type="Embed" ProgID="Equation.DSMT4" ShapeID="_x0000_i1040" DrawAspect="Content" ObjectID="_1819617089" r:id="rId40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6E1A81D2" w14:textId="2B276B32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7</w:t>
            </w:r>
            <w:r w:rsidRPr="0077112C">
              <w:t>)</w:t>
            </w:r>
          </w:p>
        </w:tc>
      </w:tr>
    </w:tbl>
    <w:p w14:paraId="1A2079E1" w14:textId="2BB171FF" w:rsidR="001F1F45" w:rsidRDefault="001F1F45" w:rsidP="00C344E7">
      <w:pPr>
        <w:widowControl w:val="0"/>
        <w:shd w:val="clear" w:color="auto" w:fill="FFFFFF"/>
        <w:spacing w:after="0" w:line="276" w:lineRule="auto"/>
        <w:jc w:val="both"/>
      </w:pPr>
    </w:p>
    <w:p w14:paraId="7C72F74A" w14:textId="392987CF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A51397">
        <w:rPr>
          <w:position w:val="-20"/>
        </w:rPr>
        <w:object w:dxaOrig="940" w:dyaOrig="499" w14:anchorId="5EA89EA4">
          <v:shape id="_x0000_i1041" type="#_x0000_t75" style="width:47.25pt;height:24.75pt" o:ole="">
            <v:imagedata r:id="rId41" o:title=""/>
          </v:shape>
          <o:OLEObject Type="Embed" ProgID="Equation.DSMT4" ShapeID="_x0000_i1041" DrawAspect="Content" ObjectID="_1819617090" r:id="rId42"/>
        </w:object>
      </w:r>
      <w:r w:rsidR="0077112C" w:rsidRPr="0077112C">
        <w:t xml:space="preserve"> – тангенціальний коефіцієнт згасання демпферного складника, кг/с: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2FF06782" w14:textId="77777777" w:rsidTr="00A51397">
        <w:tc>
          <w:tcPr>
            <w:tcW w:w="8715" w:type="dxa"/>
            <w:shd w:val="clear" w:color="auto" w:fill="auto"/>
            <w:vAlign w:val="center"/>
          </w:tcPr>
          <w:p w14:paraId="5EF396CA" w14:textId="07C1BE61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4"/>
              </w:rPr>
              <w:object w:dxaOrig="4280" w:dyaOrig="660" w14:anchorId="48A547D6">
                <v:shape id="_x0000_i1042" type="#_x0000_t75" style="width:214.5pt;height:33pt" o:ole="">
                  <v:imagedata r:id="rId43" o:title=""/>
                </v:shape>
                <o:OLEObject Type="Embed" ProgID="Equation.DSMT4" ShapeID="_x0000_i1042" DrawAspect="Content" ObjectID="_1819617091" r:id="rId44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41ECAE88" w14:textId="3678348E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8</w:t>
            </w:r>
            <w:r w:rsidRPr="0077112C">
              <w:t>)</w:t>
            </w:r>
          </w:p>
        </w:tc>
      </w:tr>
    </w:tbl>
    <w:p w14:paraId="47887147" w14:textId="0E6C3997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A51397">
        <w:rPr>
          <w:position w:val="-16"/>
        </w:rPr>
        <w:object w:dxaOrig="800" w:dyaOrig="420" w14:anchorId="45510A74">
          <v:shape id="_x0000_i1043" type="#_x0000_t75" style="width:39.75pt;height:21pt" o:ole="">
            <v:imagedata r:id="rId45" o:title=""/>
          </v:shape>
          <o:OLEObject Type="Embed" ProgID="Equation.DSMT4" ShapeID="_x0000_i1043" DrawAspect="Content" ObjectID="_1819617092" r:id="rId46"/>
        </w:object>
      </w:r>
      <w:r w:rsidR="0077112C" w:rsidRPr="0077112C">
        <w:t xml:space="preserve">, </w:t>
      </w:r>
      <w:r w:rsidRPr="00A51397">
        <w:rPr>
          <w:position w:val="-16"/>
        </w:rPr>
        <w:object w:dxaOrig="780" w:dyaOrig="420" w14:anchorId="6FABACB0">
          <v:shape id="_x0000_i1044" type="#_x0000_t75" style="width:39pt;height:21pt" o:ole="">
            <v:imagedata r:id="rId47" o:title=""/>
          </v:shape>
          <o:OLEObject Type="Embed" ProgID="Equation.DSMT4" ShapeID="_x0000_i1044" DrawAspect="Content" ObjectID="_1819617093" r:id="rId48"/>
        </w:object>
      </w:r>
      <w:r w:rsidR="0077112C" w:rsidRPr="0077112C">
        <w:t xml:space="preserve"> – нормальний і тангенціальний коефіцієнти загасання відповідно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45F4E82D" w14:textId="77777777" w:rsidTr="00A51397">
        <w:tc>
          <w:tcPr>
            <w:tcW w:w="8715" w:type="dxa"/>
            <w:shd w:val="clear" w:color="auto" w:fill="auto"/>
            <w:vAlign w:val="center"/>
          </w:tcPr>
          <w:p w14:paraId="51C75CF0" w14:textId="19F11A0C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0"/>
              </w:rPr>
              <w:object w:dxaOrig="4500" w:dyaOrig="639" w14:anchorId="11237FF8">
                <v:shape id="_x0000_i1045" type="#_x0000_t75" style="width:225pt;height:32.25pt" o:ole="">
                  <v:imagedata r:id="rId49" o:title=""/>
                </v:shape>
                <o:OLEObject Type="Embed" ProgID="Equation.DSMT4" ShapeID="_x0000_i1045" DrawAspect="Content" ObjectID="_1819617094" r:id="rId50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68454F02" w14:textId="35F9F15D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9</w:t>
            </w:r>
            <w:r w:rsidRPr="0077112C">
              <w:t>)</w:t>
            </w:r>
          </w:p>
        </w:tc>
      </w:tr>
      <w:tr w:rsidR="001F1F45" w:rsidRPr="0077112C" w14:paraId="5FE75207" w14:textId="77777777" w:rsidTr="001F1F45">
        <w:tc>
          <w:tcPr>
            <w:tcW w:w="8715" w:type="dxa"/>
            <w:shd w:val="clear" w:color="auto" w:fill="auto"/>
            <w:vAlign w:val="center"/>
          </w:tcPr>
          <w:p w14:paraId="2F851567" w14:textId="7252154B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0"/>
              </w:rPr>
              <w:object w:dxaOrig="4400" w:dyaOrig="639" w14:anchorId="32A4AB72">
                <v:shape id="_x0000_i1046" type="#_x0000_t75" style="width:220.5pt;height:32.25pt" o:ole="">
                  <v:imagedata r:id="rId51" o:title=""/>
                </v:shape>
                <o:OLEObject Type="Embed" ProgID="Equation.DSMT4" ShapeID="_x0000_i1046" DrawAspect="Content" ObjectID="_1819617095" r:id="rId52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1F92DAF9" w14:textId="2FC39A79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10</w:t>
            </w:r>
            <w:r w:rsidRPr="0077112C">
              <w:t>)</w:t>
            </w:r>
          </w:p>
        </w:tc>
      </w:tr>
    </w:tbl>
    <w:p w14:paraId="08BA48F6" w14:textId="771379E4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A51397">
        <w:rPr>
          <w:position w:val="-20"/>
        </w:rPr>
        <w:object w:dxaOrig="920" w:dyaOrig="460" w14:anchorId="7996970E">
          <v:shape id="_x0000_i1047" type="#_x0000_t75" style="width:45.75pt;height:23.25pt" o:ole="">
            <v:imagedata r:id="rId53" o:title=""/>
          </v:shape>
          <o:OLEObject Type="Embed" ProgID="Equation.DSMT4" ShapeID="_x0000_i1047" DrawAspect="Content" ObjectID="_1819617096" r:id="rId54"/>
        </w:object>
      </w:r>
      <w:r w:rsidR="0077112C" w:rsidRPr="0077112C">
        <w:t xml:space="preserve"> – еквівалентний радіус двох частинок </w:t>
      </w:r>
      <w:proofErr w:type="spellStart"/>
      <w:r w:rsidR="0077112C" w:rsidRPr="0077112C">
        <w:t>ij</w:t>
      </w:r>
      <w:proofErr w:type="spellEnd"/>
      <w:r w:rsidR="0077112C" w:rsidRPr="0077112C">
        <w:t xml:space="preserve"> та (i+1)j, м: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2FB57DB8" w14:textId="77777777" w:rsidTr="00A51397">
        <w:tc>
          <w:tcPr>
            <w:tcW w:w="8715" w:type="dxa"/>
            <w:shd w:val="clear" w:color="auto" w:fill="auto"/>
            <w:vAlign w:val="center"/>
          </w:tcPr>
          <w:p w14:paraId="553AF026" w14:textId="2476680D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40"/>
              </w:rPr>
              <w:object w:dxaOrig="2940" w:dyaOrig="840" w14:anchorId="122805E2">
                <v:shape id="_x0000_i1048" type="#_x0000_t75" style="width:147pt;height:42pt" o:ole="">
                  <v:imagedata r:id="rId55" o:title=""/>
                </v:shape>
                <o:OLEObject Type="Embed" ProgID="Equation.DSMT4" ShapeID="_x0000_i1048" DrawAspect="Content" ObjectID="_1819617097" r:id="rId56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511BB9D8" w14:textId="4EC6AB0F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11</w:t>
            </w:r>
            <w:r w:rsidRPr="0077112C">
              <w:t>)</w:t>
            </w:r>
          </w:p>
        </w:tc>
      </w:tr>
    </w:tbl>
    <w:p w14:paraId="567CF9B3" w14:textId="22FD96A7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A51397">
        <w:rPr>
          <w:position w:val="-20"/>
        </w:rPr>
        <w:object w:dxaOrig="980" w:dyaOrig="460" w14:anchorId="36D8FC2E">
          <v:shape id="_x0000_i1049" type="#_x0000_t75" style="width:48.75pt;height:23.25pt" o:ole="">
            <v:imagedata r:id="rId57" o:title=""/>
          </v:shape>
          <o:OLEObject Type="Embed" ProgID="Equation.DSMT4" ShapeID="_x0000_i1049" DrawAspect="Content" ObjectID="_1819617098" r:id="rId58"/>
        </w:object>
      </w:r>
      <w:r w:rsidR="0077112C" w:rsidRPr="0077112C">
        <w:t xml:space="preserve"> – еквівалентна маса двох частинок </w:t>
      </w:r>
      <w:proofErr w:type="spellStart"/>
      <w:r w:rsidR="0077112C" w:rsidRPr="0077112C">
        <w:t>ij</w:t>
      </w:r>
      <w:proofErr w:type="spellEnd"/>
      <w:r w:rsidR="0077112C" w:rsidRPr="0077112C">
        <w:t xml:space="preserve"> та (i+1)j, кг: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32595F6E" w14:textId="77777777" w:rsidTr="00A51397">
        <w:tc>
          <w:tcPr>
            <w:tcW w:w="8715" w:type="dxa"/>
            <w:shd w:val="clear" w:color="auto" w:fill="auto"/>
            <w:vAlign w:val="center"/>
          </w:tcPr>
          <w:p w14:paraId="44EB83E5" w14:textId="3D9D9703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40"/>
              </w:rPr>
              <w:object w:dxaOrig="3000" w:dyaOrig="840" w14:anchorId="533544CF">
                <v:shape id="_x0000_i1050" type="#_x0000_t75" style="width:150pt;height:42pt" o:ole="">
                  <v:imagedata r:id="rId59" o:title=""/>
                </v:shape>
                <o:OLEObject Type="Embed" ProgID="Equation.DSMT4" ShapeID="_x0000_i1050" DrawAspect="Content" ObjectID="_1819617099" r:id="rId60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1A2FAF00" w14:textId="20FA8BF9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12</w:t>
            </w:r>
            <w:r w:rsidRPr="0077112C">
              <w:t>)</w:t>
            </w:r>
          </w:p>
        </w:tc>
      </w:tr>
    </w:tbl>
    <w:p w14:paraId="739E2796" w14:textId="427E75A1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A51397">
        <w:rPr>
          <w:position w:val="-20"/>
        </w:rPr>
        <w:object w:dxaOrig="900" w:dyaOrig="460" w14:anchorId="0BB38FDE">
          <v:shape id="_x0000_i1051" type="#_x0000_t75" style="width:45pt;height:23.25pt" o:ole="">
            <v:imagedata r:id="rId61" o:title=""/>
          </v:shape>
          <o:OLEObject Type="Embed" ProgID="Equation.DSMT4" ShapeID="_x0000_i1051" DrawAspect="Content" ObjectID="_1819617100" r:id="rId62"/>
        </w:object>
      </w:r>
      <w:r w:rsidR="0077112C" w:rsidRPr="0077112C">
        <w:t xml:space="preserve"> – еквівалентний модуль Юнга двох частинок </w:t>
      </w:r>
      <w:proofErr w:type="spellStart"/>
      <w:r w:rsidR="0077112C" w:rsidRPr="0077112C">
        <w:t>ij</w:t>
      </w:r>
      <w:proofErr w:type="spellEnd"/>
      <w:r w:rsidR="0077112C" w:rsidRPr="0077112C">
        <w:t xml:space="preserve"> та (i+1)j, Па: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2BC70D84" w14:textId="77777777" w:rsidTr="00A51397">
        <w:tc>
          <w:tcPr>
            <w:tcW w:w="8715" w:type="dxa"/>
            <w:shd w:val="clear" w:color="auto" w:fill="auto"/>
            <w:vAlign w:val="center"/>
          </w:tcPr>
          <w:p w14:paraId="761786D4" w14:textId="69DB82FD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48"/>
              </w:rPr>
              <w:object w:dxaOrig="4620" w:dyaOrig="920" w14:anchorId="025DF70E">
                <v:shape id="_x0000_i1052" type="#_x0000_t75" style="width:231pt;height:45.75pt" o:ole="">
                  <v:imagedata r:id="rId63" o:title=""/>
                </v:shape>
                <o:OLEObject Type="Embed" ProgID="Equation.DSMT4" ShapeID="_x0000_i1052" DrawAspect="Content" ObjectID="_1819617101" r:id="rId64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7F9C571E" w14:textId="4935F767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13</w:t>
            </w:r>
            <w:r w:rsidRPr="0077112C">
              <w:t>)</w:t>
            </w:r>
          </w:p>
        </w:tc>
      </w:tr>
    </w:tbl>
    <w:p w14:paraId="1F23056F" w14:textId="216C6535" w:rsidR="0077112C" w:rsidRDefault="001F1F45" w:rsidP="00C344E7">
      <w:pPr>
        <w:widowControl w:val="0"/>
        <w:shd w:val="clear" w:color="auto" w:fill="FFFFFF"/>
        <w:spacing w:after="0" w:line="276" w:lineRule="auto"/>
        <w:jc w:val="both"/>
      </w:pPr>
      <w:r w:rsidRPr="00A51397">
        <w:rPr>
          <w:position w:val="-20"/>
        </w:rPr>
        <w:object w:dxaOrig="940" w:dyaOrig="460" w14:anchorId="240E3CD2">
          <v:shape id="_x0000_i1053" type="#_x0000_t75" style="width:47.25pt;height:23.25pt" o:ole="">
            <v:imagedata r:id="rId65" o:title=""/>
          </v:shape>
          <o:OLEObject Type="Embed" ProgID="Equation.DSMT4" ShapeID="_x0000_i1053" DrawAspect="Content" ObjectID="_1819617102" r:id="rId66"/>
        </w:object>
      </w:r>
      <w:r w:rsidR="0077112C" w:rsidRPr="0077112C">
        <w:t xml:space="preserve"> – еквівалентний модуль зсуву двох частинок </w:t>
      </w:r>
      <w:proofErr w:type="spellStart"/>
      <w:r w:rsidR="0077112C" w:rsidRPr="0077112C">
        <w:t>ij</w:t>
      </w:r>
      <w:proofErr w:type="spellEnd"/>
      <w:r w:rsidR="0077112C" w:rsidRPr="0077112C">
        <w:t xml:space="preserve"> та (i+1)j, Па: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1F1F45" w:rsidRPr="0077112C" w14:paraId="029627A2" w14:textId="77777777" w:rsidTr="00A51397">
        <w:tc>
          <w:tcPr>
            <w:tcW w:w="8715" w:type="dxa"/>
            <w:shd w:val="clear" w:color="auto" w:fill="auto"/>
            <w:vAlign w:val="center"/>
          </w:tcPr>
          <w:p w14:paraId="049BAD46" w14:textId="45C2B275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48"/>
              </w:rPr>
              <w:object w:dxaOrig="7080" w:dyaOrig="920" w14:anchorId="06A36768">
                <v:shape id="_x0000_i1054" type="#_x0000_t75" style="width:354pt;height:45.75pt" o:ole="">
                  <v:imagedata r:id="rId67" o:title=""/>
                </v:shape>
                <o:OLEObject Type="Embed" ProgID="Equation.DSMT4" ShapeID="_x0000_i1054" DrawAspect="Content" ObjectID="_1819617103" r:id="rId68"/>
              </w:object>
            </w:r>
            <w:r w:rsidRPr="0077112C">
              <w:t>;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63530290" w14:textId="660BBCEA" w:rsidR="001F1F45" w:rsidRPr="0077112C" w:rsidRDefault="001F1F45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14</w:t>
            </w:r>
            <w:r w:rsidRPr="0077112C">
              <w:t>)</w:t>
            </w:r>
          </w:p>
        </w:tc>
      </w:tr>
    </w:tbl>
    <w:p w14:paraId="52137ACC" w14:textId="5376D5D5" w:rsidR="0077112C" w:rsidRPr="0077112C" w:rsidRDefault="0077112C" w:rsidP="00C344E7">
      <w:pPr>
        <w:widowControl w:val="0"/>
        <w:shd w:val="clear" w:color="auto" w:fill="FFFFFF"/>
        <w:spacing w:after="0" w:line="276" w:lineRule="auto"/>
        <w:jc w:val="both"/>
      </w:pPr>
      <w:r w:rsidRPr="0077112C">
        <w:t>M</w:t>
      </w:r>
      <w:r w:rsidRPr="0077112C">
        <w:rPr>
          <w:vertAlign w:val="subscript"/>
        </w:rPr>
        <w:t>ij</w:t>
      </w:r>
      <w:r w:rsidRPr="0077112C">
        <w:t>, M</w:t>
      </w:r>
      <w:r w:rsidRPr="0077112C">
        <w:rPr>
          <w:vertAlign w:val="subscript"/>
        </w:rPr>
        <w:t>(i+1)j</w:t>
      </w:r>
      <w:r w:rsidRPr="0077112C">
        <w:t xml:space="preserve"> – маси частинок ij та (i+1)j, кг;</w:t>
      </w:r>
      <w:r w:rsidR="001F1F45">
        <w:t xml:space="preserve"> </w:t>
      </w:r>
      <w:r w:rsidR="001F1F45" w:rsidRPr="00A51397">
        <w:rPr>
          <w:position w:val="-20"/>
        </w:rPr>
        <w:object w:dxaOrig="859" w:dyaOrig="499" w14:anchorId="449897AA">
          <v:shape id="_x0000_i1055" type="#_x0000_t75" style="width:42.75pt;height:24.75pt" o:ole="">
            <v:imagedata r:id="rId69" o:title=""/>
          </v:shape>
          <o:OLEObject Type="Embed" ProgID="Equation.DSMT4" ShapeID="_x0000_i1055" DrawAspect="Content" ObjectID="_1819617104" r:id="rId70"/>
        </w:object>
      </w:r>
      <w:r w:rsidRPr="0077112C">
        <w:t xml:space="preserve">, </w:t>
      </w:r>
      <w:r w:rsidR="001F1F45" w:rsidRPr="00A51397">
        <w:rPr>
          <w:position w:val="-20"/>
        </w:rPr>
        <w:object w:dxaOrig="859" w:dyaOrig="499" w14:anchorId="3FFC7923">
          <v:shape id="_x0000_i1056" type="#_x0000_t75" style="width:42.75pt;height:24.75pt" o:ole="">
            <v:imagedata r:id="rId71" o:title=""/>
          </v:shape>
          <o:OLEObject Type="Embed" ProgID="Equation.DSMT4" ShapeID="_x0000_i1056" DrawAspect="Content" ObjectID="_1819617105" r:id="rId72"/>
        </w:object>
      </w:r>
      <w:r w:rsidRPr="0077112C">
        <w:t xml:space="preserve"> – віртуальне перекриття частинок ij та (i+1)j в нормальному і тангенціальному напрямках, м;</w:t>
      </w:r>
      <w:r w:rsidR="001F1F45">
        <w:t xml:space="preserve"> </w:t>
      </w:r>
      <w:proofErr w:type="spellStart"/>
      <w:r w:rsidRPr="0077112C">
        <w:t>D</w:t>
      </w:r>
      <w:r w:rsidRPr="0077112C">
        <w:rPr>
          <w:vertAlign w:val="subscript"/>
        </w:rPr>
        <w:t>ij</w:t>
      </w:r>
      <w:proofErr w:type="spellEnd"/>
      <w:r w:rsidRPr="0077112C">
        <w:t>, D</w:t>
      </w:r>
      <w:r w:rsidRPr="0077112C">
        <w:rPr>
          <w:vertAlign w:val="subscript"/>
        </w:rPr>
        <w:t>(i+1)j</w:t>
      </w:r>
      <w:r w:rsidRPr="0077112C">
        <w:t xml:space="preserve"> – ефективні діаметри частинок ij та (i+1)j, м;</w:t>
      </w:r>
      <w:r w:rsidR="001F1F45">
        <w:t xml:space="preserve"> </w:t>
      </w:r>
      <w:proofErr w:type="spellStart"/>
      <w:r w:rsidRPr="0077112C">
        <w:t>E</w:t>
      </w:r>
      <w:r w:rsidRPr="0077112C">
        <w:rPr>
          <w:vertAlign w:val="subscript"/>
        </w:rPr>
        <w:t>ij</w:t>
      </w:r>
      <w:proofErr w:type="spellEnd"/>
      <w:r w:rsidRPr="0077112C">
        <w:t>, E</w:t>
      </w:r>
      <w:r w:rsidRPr="0077112C">
        <w:rPr>
          <w:vertAlign w:val="subscript"/>
        </w:rPr>
        <w:t>(i+1)j</w:t>
      </w:r>
      <w:r w:rsidRPr="0077112C">
        <w:t xml:space="preserve"> – модулі Юнга частинок ij та (i+1)j, Па; </w:t>
      </w:r>
      <w:proofErr w:type="spellStart"/>
      <w:r w:rsidRPr="0077112C">
        <w:t>ν</w:t>
      </w:r>
      <w:r w:rsidRPr="0077112C">
        <w:rPr>
          <w:vertAlign w:val="subscript"/>
        </w:rPr>
        <w:t>ij</w:t>
      </w:r>
      <w:proofErr w:type="spellEnd"/>
      <w:r w:rsidRPr="0077112C">
        <w:t>, ν</w:t>
      </w:r>
      <w:r w:rsidRPr="0077112C">
        <w:rPr>
          <w:vertAlign w:val="subscript"/>
        </w:rPr>
        <w:t>(i+1)j</w:t>
      </w:r>
      <w:r w:rsidRPr="0077112C">
        <w:t xml:space="preserve"> – коефіцієнти Пуассона частинок </w:t>
      </w:r>
      <w:proofErr w:type="spellStart"/>
      <w:r w:rsidRPr="0077112C">
        <w:t>ij</w:t>
      </w:r>
      <w:proofErr w:type="spellEnd"/>
      <w:r w:rsidRPr="0077112C">
        <w:t xml:space="preserve"> та (i+1)j; </w:t>
      </w:r>
      <w:r w:rsidR="001F1F45" w:rsidRPr="00A51397">
        <w:rPr>
          <w:position w:val="-20"/>
        </w:rPr>
        <w:object w:dxaOrig="900" w:dyaOrig="499" w14:anchorId="2B0FB012">
          <v:shape id="_x0000_i1057" type="#_x0000_t75" style="width:45pt;height:24.75pt" o:ole="">
            <v:imagedata r:id="rId73" o:title=""/>
          </v:shape>
          <o:OLEObject Type="Embed" ProgID="Equation.DSMT4" ShapeID="_x0000_i1057" DrawAspect="Content" ObjectID="_1819617106" r:id="rId74"/>
        </w:object>
      </w:r>
      <w:r w:rsidRPr="0077112C">
        <w:t xml:space="preserve">, </w:t>
      </w:r>
      <w:r w:rsidR="001F1F45" w:rsidRPr="00A51397">
        <w:rPr>
          <w:position w:val="-20"/>
        </w:rPr>
        <w:object w:dxaOrig="900" w:dyaOrig="499" w14:anchorId="75B8F408">
          <v:shape id="_x0000_i1058" type="#_x0000_t75" style="width:45pt;height:24.75pt" o:ole="">
            <v:imagedata r:id="rId75" o:title=""/>
          </v:shape>
          <o:OLEObject Type="Embed" ProgID="Equation.DSMT4" ShapeID="_x0000_i1058" DrawAspect="Content" ObjectID="_1819617107" r:id="rId76"/>
        </w:object>
      </w:r>
      <w:r w:rsidRPr="0077112C">
        <w:t xml:space="preserve">  – тангенціальний й нормальний компоненти швидкості переміщення частинок в точці контакту, м/с;</w:t>
      </w:r>
    </w:p>
    <w:p w14:paraId="505AB7BB" w14:textId="045893EC" w:rsid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77112C">
        <w:lastRenderedPageBreak/>
        <w:t>При взаємодії частинки компонентів корму зі стінкою залежності (</w:t>
      </w:r>
      <w:r w:rsidR="003E3A42">
        <w:t>11</w:t>
      </w:r>
      <w:r w:rsidRPr="0077112C">
        <w:t>)–(</w:t>
      </w:r>
      <w:r w:rsidR="003E3A42">
        <w:t>12</w:t>
      </w:r>
      <w:r w:rsidRPr="0077112C">
        <w:t xml:space="preserve">) при умові </w:t>
      </w:r>
      <w:proofErr w:type="spellStart"/>
      <w:r w:rsidRPr="0077112C">
        <w:t>D</w:t>
      </w:r>
      <w:r w:rsidRPr="0077112C">
        <w:rPr>
          <w:vertAlign w:val="subscript"/>
        </w:rPr>
        <w:t>wall</w:t>
      </w:r>
      <w:proofErr w:type="spellEnd"/>
      <w:r w:rsidRPr="0077112C">
        <w:t xml:space="preserve"> = ∞ </w:t>
      </w:r>
      <w:proofErr w:type="spellStart"/>
      <w:r w:rsidRPr="0077112C">
        <w:t>M</w:t>
      </w:r>
      <w:r w:rsidRPr="0077112C">
        <w:rPr>
          <w:vertAlign w:val="subscript"/>
        </w:rPr>
        <w:t>wall</w:t>
      </w:r>
      <w:proofErr w:type="spellEnd"/>
      <w:r w:rsidRPr="0077112C">
        <w:t xml:space="preserve"> = ∞ перетворюються у наступну форму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3E3A42" w:rsidRPr="0077112C" w14:paraId="311856E6" w14:textId="77777777" w:rsidTr="00A51397">
        <w:tc>
          <w:tcPr>
            <w:tcW w:w="8715" w:type="dxa"/>
            <w:shd w:val="clear" w:color="auto" w:fill="auto"/>
            <w:vAlign w:val="center"/>
          </w:tcPr>
          <w:p w14:paraId="2FF2CA64" w14:textId="1A8F1007" w:rsidR="003E3A42" w:rsidRPr="0077112C" w:rsidRDefault="003E3A42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16"/>
              </w:rPr>
              <w:object w:dxaOrig="1719" w:dyaOrig="420" w14:anchorId="43E20626">
                <v:shape id="_x0000_i1059" type="#_x0000_t75" style="width:86.25pt;height:21pt" o:ole="">
                  <v:imagedata r:id="rId77" o:title=""/>
                </v:shape>
                <o:OLEObject Type="Embed" ProgID="Equation.DSMT4" ShapeID="_x0000_i1059" DrawAspect="Content" ObjectID="_1819617108" r:id="rId78"/>
              </w:object>
            </w:r>
            <w:r w:rsidRPr="0077112C">
              <w:t>,</w:t>
            </w:r>
            <w:r>
              <w:t xml:space="preserve"> </w:t>
            </w:r>
            <w:r w:rsidRPr="00A51397">
              <w:rPr>
                <w:position w:val="-16"/>
              </w:rPr>
              <w:object w:dxaOrig="1520" w:dyaOrig="420" w14:anchorId="10DBCFF3">
                <v:shape id="_x0000_i1060" type="#_x0000_t75" style="width:76.5pt;height:21pt" o:ole="">
                  <v:imagedata r:id="rId79" o:title=""/>
                </v:shape>
                <o:OLEObject Type="Embed" ProgID="Equation.DSMT4" ShapeID="_x0000_i1060" DrawAspect="Content" ObjectID="_1819617109" r:id="rId80"/>
              </w:object>
            </w:r>
            <w:r w:rsidRPr="0077112C">
              <w:t>.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104B3AB8" w14:textId="73A84C96" w:rsidR="003E3A42" w:rsidRPr="0077112C" w:rsidRDefault="003E3A42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15</w:t>
            </w:r>
            <w:r w:rsidRPr="0077112C">
              <w:t>)</w:t>
            </w:r>
          </w:p>
        </w:tc>
      </w:tr>
    </w:tbl>
    <w:p w14:paraId="39DE91BC" w14:textId="729F6D5D" w:rsidR="0077112C" w:rsidRDefault="0077112C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  <w:r w:rsidRPr="0077112C">
        <w:t xml:space="preserve">Через високий тиск між частинками виникає зчеплення, природа якого у явищі когезії. Моделювання когезії полегшує моделювання сил міжмолекулярного притягання (сил Ван-дер-Ваальса) між поверхнями частинок. </w:t>
      </w:r>
      <w:r w:rsidR="003E3A42" w:rsidRPr="0077112C">
        <w:t xml:space="preserve">Для </w:t>
      </w:r>
      <w:r w:rsidRPr="0077112C">
        <w:t xml:space="preserve">деяких класів симуляцій, таких як сухі порошки, ці сили значно впливають на результат, і їх не можна ігнорувати. В подальшому будемо використовувати модель Джонсона-Кендалла-Робертса (JKR). Сила зчеплення між двома сферичними частинками виражається як (рис. </w:t>
      </w:r>
      <w:r w:rsidR="003E3A42">
        <w:t>2</w:t>
      </w:r>
      <w:r w:rsidRPr="0077112C">
        <w:t>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15"/>
        <w:gridCol w:w="922"/>
      </w:tblGrid>
      <w:tr w:rsidR="003E3A42" w:rsidRPr="0077112C" w14:paraId="355A8822" w14:textId="77777777" w:rsidTr="00A51397">
        <w:tc>
          <w:tcPr>
            <w:tcW w:w="8715" w:type="dxa"/>
            <w:shd w:val="clear" w:color="auto" w:fill="auto"/>
            <w:vAlign w:val="center"/>
          </w:tcPr>
          <w:p w14:paraId="6BFFD50C" w14:textId="30599340" w:rsidR="003E3A42" w:rsidRPr="0077112C" w:rsidRDefault="003E3A42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A51397">
              <w:rPr>
                <w:position w:val="-26"/>
              </w:rPr>
              <w:object w:dxaOrig="4300" w:dyaOrig="700" w14:anchorId="2FAD8F27">
                <v:shape id="_x0000_i1061" type="#_x0000_t75" style="width:215.25pt;height:34.5pt" o:ole="">
                  <v:imagedata r:id="rId81" o:title=""/>
                </v:shape>
                <o:OLEObject Type="Embed" ProgID="Equation.DSMT4" ShapeID="_x0000_i1061" DrawAspect="Content" ObjectID="_1819617110" r:id="rId82"/>
              </w:object>
            </w:r>
            <w:r w:rsidRPr="0077112C">
              <w:t>,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509D15CF" w14:textId="499522EB" w:rsidR="003E3A42" w:rsidRPr="0077112C" w:rsidRDefault="003E3A42" w:rsidP="00C344E7">
            <w:pPr>
              <w:widowControl w:val="0"/>
              <w:shd w:val="clear" w:color="auto" w:fill="FFFFFF"/>
              <w:spacing w:after="0" w:line="276" w:lineRule="auto"/>
              <w:jc w:val="center"/>
            </w:pPr>
            <w:r w:rsidRPr="0077112C">
              <w:t>(</w:t>
            </w:r>
            <w:r>
              <w:t>16</w:t>
            </w:r>
            <w:r w:rsidRPr="0077112C">
              <w:t>)</w:t>
            </w:r>
          </w:p>
        </w:tc>
      </w:tr>
    </w:tbl>
    <w:p w14:paraId="3BCB0C7F" w14:textId="7315B118" w:rsidR="0077112C" w:rsidRPr="003E3A42" w:rsidRDefault="0077112C" w:rsidP="00C344E7">
      <w:pPr>
        <w:widowControl w:val="0"/>
        <w:shd w:val="clear" w:color="auto" w:fill="FFFFFF"/>
        <w:spacing w:after="0" w:line="276" w:lineRule="auto"/>
        <w:jc w:val="both"/>
      </w:pPr>
      <w:r w:rsidRPr="0077112C">
        <w:t>де</w:t>
      </w:r>
      <w:r w:rsidR="003E3A42">
        <w:t xml:space="preserve"> </w:t>
      </w:r>
      <w:r w:rsidR="003E3A42" w:rsidRPr="00A51397">
        <w:rPr>
          <w:position w:val="-22"/>
        </w:rPr>
        <w:object w:dxaOrig="2780" w:dyaOrig="580" w14:anchorId="69A04329">
          <v:shape id="_x0000_i1062" type="#_x0000_t75" style="width:138.75pt;height:28.5pt" o:ole="">
            <v:imagedata r:id="rId83" o:title=""/>
          </v:shape>
          <o:OLEObject Type="Embed" ProgID="Equation.DSMT4" ShapeID="_x0000_i1062" DrawAspect="Content" ObjectID="_1819617111" r:id="rId84"/>
        </w:object>
      </w:r>
      <w:r w:rsidRPr="0077112C">
        <w:t xml:space="preserve"> – мінімальний радіус контактних поверхонь, який залежить від віртуального перекриття частинок ij та (i+1)j, м;</w:t>
      </w:r>
      <w:r w:rsidR="003E3A42">
        <w:t xml:space="preserve"> </w:t>
      </w:r>
      <w:r w:rsidRPr="0077112C">
        <w:t>W</w:t>
      </w:r>
      <w:r w:rsidRPr="0077112C">
        <w:rPr>
          <w:vertAlign w:val="subscript"/>
        </w:rPr>
        <w:t>p</w:t>
      </w:r>
      <w:r w:rsidRPr="0077112C">
        <w:t xml:space="preserve"> – робота когезії на одиницю площі, Н/м. </w:t>
      </w:r>
    </w:p>
    <w:p w14:paraId="2237EA45" w14:textId="77777777" w:rsidR="003E3A42" w:rsidRPr="003E3A42" w:rsidRDefault="003E3A42" w:rsidP="00C344E7">
      <w:pPr>
        <w:widowControl w:val="0"/>
        <w:shd w:val="clear" w:color="auto" w:fill="FFFFFF"/>
        <w:spacing w:after="0" w:line="276" w:lineRule="auto"/>
        <w:ind w:firstLine="709"/>
        <w:jc w:val="both"/>
      </w:pPr>
    </w:p>
    <w:p w14:paraId="1216363D" w14:textId="77777777" w:rsidR="001768C5" w:rsidRPr="003E3A42" w:rsidRDefault="001768C5" w:rsidP="00C344E7">
      <w:pPr>
        <w:widowControl w:val="0"/>
        <w:spacing w:after="0" w:line="276" w:lineRule="auto"/>
        <w:ind w:firstLine="709"/>
        <w:jc w:val="center"/>
        <w:rPr>
          <w:b/>
          <w:bCs/>
        </w:rPr>
      </w:pPr>
      <w:r w:rsidRPr="003E3A42">
        <w:rPr>
          <w:b/>
        </w:rPr>
        <w:t>БІБЛІОГРАФІЯ</w:t>
      </w:r>
    </w:p>
    <w:p w14:paraId="1C1CBC10" w14:textId="02343BD5" w:rsidR="0077112C" w:rsidRPr="003E3A42" w:rsidRDefault="0077112C" w:rsidP="00C344E7">
      <w:pPr>
        <w:spacing w:after="0" w:line="276" w:lineRule="auto"/>
        <w:ind w:firstLine="709"/>
        <w:jc w:val="both"/>
        <w:rPr>
          <w:lang w:val="en-GB"/>
        </w:rPr>
      </w:pPr>
    </w:p>
    <w:p w14:paraId="28E81187" w14:textId="2AC63FD4" w:rsidR="003E3A42" w:rsidRPr="003E3A42" w:rsidRDefault="003E3A42" w:rsidP="00C344E7">
      <w:pPr>
        <w:spacing w:after="0" w:line="276" w:lineRule="auto"/>
        <w:ind w:firstLine="709"/>
        <w:jc w:val="both"/>
        <w:rPr>
          <w:lang w:val="en-US"/>
        </w:rPr>
      </w:pPr>
      <w:r w:rsidRPr="003E3A42">
        <w:rPr>
          <w:lang w:val="en-US"/>
        </w:rPr>
        <w:t xml:space="preserve">1. Aliev, E. B., Bandura, V. M., </w:t>
      </w:r>
      <w:proofErr w:type="spellStart"/>
      <w:r w:rsidRPr="003E3A42">
        <w:rPr>
          <w:lang w:val="en-US"/>
        </w:rPr>
        <w:t>Pryshliak</w:t>
      </w:r>
      <w:proofErr w:type="spellEnd"/>
      <w:r w:rsidRPr="003E3A42">
        <w:rPr>
          <w:lang w:val="en-US"/>
        </w:rPr>
        <w:t xml:space="preserve">, V. M., </w:t>
      </w:r>
      <w:proofErr w:type="spellStart"/>
      <w:r w:rsidRPr="003E3A42">
        <w:rPr>
          <w:lang w:val="en-US"/>
        </w:rPr>
        <w:t>Yaropud</w:t>
      </w:r>
      <w:proofErr w:type="spellEnd"/>
      <w:r w:rsidRPr="003E3A42">
        <w:rPr>
          <w:lang w:val="en-US"/>
        </w:rPr>
        <w:t xml:space="preserve">, V. M., </w:t>
      </w:r>
      <w:proofErr w:type="spellStart"/>
      <w:r w:rsidRPr="003E3A42">
        <w:rPr>
          <w:lang w:val="en-US"/>
        </w:rPr>
        <w:t>Trukhanska</w:t>
      </w:r>
      <w:proofErr w:type="spellEnd"/>
      <w:r w:rsidRPr="003E3A42">
        <w:rPr>
          <w:lang w:val="en-US"/>
        </w:rPr>
        <w:t>, O. O. (2018). Modeling of mechanical and technological processes of the agricultural industry. INMATEH – Agricultural Engineering</w:t>
      </w:r>
      <w:r>
        <w:t xml:space="preserve">, </w:t>
      </w:r>
      <w:r w:rsidRPr="003E3A42">
        <w:rPr>
          <w:lang w:val="en-US"/>
        </w:rPr>
        <w:t>54</w:t>
      </w:r>
      <w:r>
        <w:t xml:space="preserve"> (</w:t>
      </w:r>
      <w:r w:rsidRPr="003E3A42">
        <w:rPr>
          <w:lang w:val="en-US"/>
        </w:rPr>
        <w:t>1</w:t>
      </w:r>
      <w:r>
        <w:t>):</w:t>
      </w:r>
      <w:r w:rsidRPr="003E3A42">
        <w:rPr>
          <w:lang w:val="en-US"/>
        </w:rPr>
        <w:t xml:space="preserve"> 95–104.</w:t>
      </w:r>
    </w:p>
    <w:p w14:paraId="1774F102" w14:textId="1B78AAD4" w:rsidR="003E3A42" w:rsidRDefault="003E3A42" w:rsidP="00C344E7">
      <w:pPr>
        <w:spacing w:after="0" w:line="276" w:lineRule="auto"/>
        <w:ind w:firstLine="709"/>
        <w:jc w:val="both"/>
      </w:pPr>
      <w:r>
        <w:t>2.</w:t>
      </w:r>
      <w:r w:rsidRPr="003E3A42">
        <w:t xml:space="preserve"> Алієв, Е. Б., Миколенко, С. Ю., Сова, Н. А. та ін. (2022). Техніко-технологічне забезпечення безвідходної переробки зернової сировини у харчові продукти і корми: колективна монографія / за </w:t>
      </w:r>
      <w:proofErr w:type="spellStart"/>
      <w:r w:rsidRPr="003E3A42">
        <w:t>заг</w:t>
      </w:r>
      <w:proofErr w:type="spellEnd"/>
      <w:r w:rsidRPr="003E3A42">
        <w:t>. ред. Е. Б. Алієва. Дніпро: ЛІРА. 192 с. ISBN 978-966-981-687-0.</w:t>
      </w:r>
    </w:p>
    <w:p w14:paraId="0D7C8E9E" w14:textId="08D313CC" w:rsidR="003E3A42" w:rsidRPr="003E3A42" w:rsidRDefault="003E3A42" w:rsidP="00C344E7">
      <w:pPr>
        <w:spacing w:after="0" w:line="276" w:lineRule="auto"/>
        <w:ind w:firstLine="709"/>
        <w:jc w:val="both"/>
        <w:rPr>
          <w:lang w:val="en-US"/>
        </w:rPr>
      </w:pPr>
      <w:r>
        <w:t>3.</w:t>
      </w:r>
      <w:r w:rsidRPr="003E3A42">
        <w:t xml:space="preserve"> </w:t>
      </w:r>
      <w:r w:rsidRPr="003E3A42">
        <w:rPr>
          <w:lang w:val="en-US"/>
        </w:rPr>
        <w:t xml:space="preserve">Iwasaki, T., </w:t>
      </w:r>
      <w:proofErr w:type="spellStart"/>
      <w:r w:rsidRPr="003E3A42">
        <w:rPr>
          <w:lang w:val="en-US"/>
        </w:rPr>
        <w:t>Munetake</w:t>
      </w:r>
      <w:proofErr w:type="spellEnd"/>
      <w:r w:rsidRPr="003E3A42">
        <w:rPr>
          <w:lang w:val="en-US"/>
        </w:rPr>
        <w:t xml:space="preserve">, S., </w:t>
      </w:r>
      <w:proofErr w:type="spellStart"/>
      <w:r w:rsidRPr="003E3A42">
        <w:rPr>
          <w:lang w:val="en-US"/>
        </w:rPr>
        <w:t>Takaomi</w:t>
      </w:r>
      <w:proofErr w:type="spellEnd"/>
      <w:r w:rsidRPr="003E3A42">
        <w:rPr>
          <w:lang w:val="en-US"/>
        </w:rPr>
        <w:t xml:space="preserve">, K. (2001). Analysis of collision energy of bead media in a high-speed elliptical rotor-type </w:t>
      </w:r>
      <w:proofErr w:type="spellStart"/>
      <w:r w:rsidRPr="003E3A42">
        <w:rPr>
          <w:lang w:val="en-US"/>
        </w:rPr>
        <w:t>poweder</w:t>
      </w:r>
      <w:proofErr w:type="spellEnd"/>
      <w:r w:rsidRPr="003E3A42">
        <w:rPr>
          <w:lang w:val="en-US"/>
        </w:rPr>
        <w:t xml:space="preserve"> mixer using the discrete element method. Powder Technology. 121: 239–248.</w:t>
      </w:r>
    </w:p>
    <w:p w14:paraId="106DBF97" w14:textId="5325931A" w:rsidR="003E3A42" w:rsidRPr="003E3A42" w:rsidRDefault="003E3A42" w:rsidP="00C344E7">
      <w:pPr>
        <w:spacing w:after="0" w:line="276" w:lineRule="auto"/>
        <w:ind w:firstLine="709"/>
        <w:jc w:val="both"/>
        <w:rPr>
          <w:lang w:val="en-US"/>
        </w:rPr>
      </w:pPr>
      <w:r w:rsidRPr="003E3A42">
        <w:rPr>
          <w:lang w:val="en-US"/>
        </w:rPr>
        <w:t xml:space="preserve">4. </w:t>
      </w:r>
      <w:proofErr w:type="spellStart"/>
      <w:r w:rsidRPr="003E3A42">
        <w:rPr>
          <w:lang w:val="en-US"/>
        </w:rPr>
        <w:t>Kosteski</w:t>
      </w:r>
      <w:proofErr w:type="spellEnd"/>
      <w:r w:rsidRPr="003E3A42">
        <w:rPr>
          <w:lang w:val="en-US"/>
        </w:rPr>
        <w:t xml:space="preserve">, L., D’Ambra, R. B., </w:t>
      </w:r>
      <w:proofErr w:type="spellStart"/>
      <w:r w:rsidRPr="003E3A42">
        <w:rPr>
          <w:lang w:val="en-US"/>
        </w:rPr>
        <w:t>Iturrioz</w:t>
      </w:r>
      <w:proofErr w:type="spellEnd"/>
      <w:r w:rsidRPr="003E3A42">
        <w:rPr>
          <w:lang w:val="en-US"/>
        </w:rPr>
        <w:t xml:space="preserve">, I. (2012). Crack propagation in elastic solids using the truss-like discrete element method. Int. J. </w:t>
      </w:r>
      <w:proofErr w:type="spellStart"/>
      <w:r w:rsidRPr="003E3A42">
        <w:rPr>
          <w:lang w:val="en-US"/>
        </w:rPr>
        <w:t>Fract</w:t>
      </w:r>
      <w:proofErr w:type="spellEnd"/>
      <w:r w:rsidRPr="003E3A42">
        <w:rPr>
          <w:lang w:val="en-US"/>
        </w:rPr>
        <w:t>. 174: 139–161</w:t>
      </w:r>
    </w:p>
    <w:p w14:paraId="50A00616" w14:textId="53A2A97F" w:rsidR="003E3A42" w:rsidRPr="003E3A42" w:rsidRDefault="003E3A42" w:rsidP="00C344E7">
      <w:pPr>
        <w:spacing w:after="0" w:line="276" w:lineRule="auto"/>
        <w:ind w:firstLine="709"/>
        <w:jc w:val="both"/>
        <w:rPr>
          <w:lang w:val="en-US"/>
        </w:rPr>
      </w:pPr>
      <w:r>
        <w:t>5.</w:t>
      </w:r>
      <w:r w:rsidRPr="003E3A42">
        <w:t xml:space="preserve"> Алієв Е. Б. (2023). Чисельне моделювання процесів агропромислового виробництва: підручник. Київ: Аграрна наука, 340 с. ISBN 978-966-540-584-9. DOI: 10.31073/978-966-540-584-9</w:t>
      </w:r>
    </w:p>
    <w:sectPr w:rsidR="003E3A42" w:rsidRPr="003E3A42" w:rsidSect="00A1635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0C4B3" w14:textId="77777777" w:rsidR="005B0061" w:rsidRDefault="005B0061" w:rsidP="0070199C">
      <w:pPr>
        <w:spacing w:after="0" w:line="240" w:lineRule="auto"/>
      </w:pPr>
      <w:r>
        <w:separator/>
      </w:r>
    </w:p>
  </w:endnote>
  <w:endnote w:type="continuationSeparator" w:id="0">
    <w:p w14:paraId="74E769F5" w14:textId="77777777" w:rsidR="005B0061" w:rsidRDefault="005B0061" w:rsidP="00701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F4E7F" w14:textId="77777777" w:rsidR="005B0061" w:rsidRDefault="005B0061" w:rsidP="0070199C">
      <w:pPr>
        <w:spacing w:after="0" w:line="240" w:lineRule="auto"/>
      </w:pPr>
      <w:r>
        <w:separator/>
      </w:r>
    </w:p>
  </w:footnote>
  <w:footnote w:type="continuationSeparator" w:id="0">
    <w:p w14:paraId="2A1416BD" w14:textId="77777777" w:rsidR="005B0061" w:rsidRDefault="005B0061" w:rsidP="007019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43CA1"/>
    <w:multiLevelType w:val="hybridMultilevel"/>
    <w:tmpl w:val="61F2ECB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16DF2"/>
    <w:multiLevelType w:val="multilevel"/>
    <w:tmpl w:val="52B68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226464"/>
    <w:multiLevelType w:val="multilevel"/>
    <w:tmpl w:val="B9A0A3E2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0" w:hanging="2160"/>
      </w:pPr>
      <w:rPr>
        <w:rFonts w:hint="default"/>
      </w:rPr>
    </w:lvl>
  </w:abstractNum>
  <w:abstractNum w:abstractNumId="3" w15:restartNumberingAfterBreak="0">
    <w:nsid w:val="32AD479F"/>
    <w:multiLevelType w:val="multilevel"/>
    <w:tmpl w:val="EA149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F132A6D"/>
    <w:multiLevelType w:val="hybridMultilevel"/>
    <w:tmpl w:val="9FA05F1C"/>
    <w:lvl w:ilvl="0" w:tplc="23E463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BDE6E31"/>
    <w:multiLevelType w:val="multilevel"/>
    <w:tmpl w:val="5AFE2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A82"/>
    <w:rsid w:val="000805D9"/>
    <w:rsid w:val="000A2C8B"/>
    <w:rsid w:val="000B6EEE"/>
    <w:rsid w:val="001058A2"/>
    <w:rsid w:val="001768C5"/>
    <w:rsid w:val="00196526"/>
    <w:rsid w:val="001C5A0F"/>
    <w:rsid w:val="001C6E45"/>
    <w:rsid w:val="001F1F45"/>
    <w:rsid w:val="00204F48"/>
    <w:rsid w:val="00227806"/>
    <w:rsid w:val="003B6620"/>
    <w:rsid w:val="003E3A42"/>
    <w:rsid w:val="004C14B8"/>
    <w:rsid w:val="00572386"/>
    <w:rsid w:val="005B0061"/>
    <w:rsid w:val="00600A9E"/>
    <w:rsid w:val="00644181"/>
    <w:rsid w:val="00677D33"/>
    <w:rsid w:val="006C4FDE"/>
    <w:rsid w:val="006E7836"/>
    <w:rsid w:val="0070199C"/>
    <w:rsid w:val="007378A4"/>
    <w:rsid w:val="0077112C"/>
    <w:rsid w:val="0077345E"/>
    <w:rsid w:val="007F1832"/>
    <w:rsid w:val="00824F27"/>
    <w:rsid w:val="00861A19"/>
    <w:rsid w:val="00864006"/>
    <w:rsid w:val="00872114"/>
    <w:rsid w:val="008A1CED"/>
    <w:rsid w:val="0093566C"/>
    <w:rsid w:val="00A07F69"/>
    <w:rsid w:val="00A1635E"/>
    <w:rsid w:val="00AD6A82"/>
    <w:rsid w:val="00AE1AA4"/>
    <w:rsid w:val="00B564B7"/>
    <w:rsid w:val="00C344E7"/>
    <w:rsid w:val="00CD554F"/>
    <w:rsid w:val="00D0354B"/>
    <w:rsid w:val="00D5491E"/>
    <w:rsid w:val="00D71F6E"/>
    <w:rsid w:val="00DE4BDE"/>
    <w:rsid w:val="00F34EC6"/>
    <w:rsid w:val="00F42522"/>
    <w:rsid w:val="00F7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CC8AC2"/>
  <w15:docId w15:val="{9A64ABCA-F1D3-46E1-B477-5F2453F71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FDE"/>
    <w:pPr>
      <w:spacing w:after="200" w:line="276" w:lineRule="auto"/>
      <w:ind w:left="720"/>
      <w:contextualSpacing/>
    </w:pPr>
    <w:rPr>
      <w:rFonts w:ascii="Calibri" w:eastAsia="Calibri" w:hAnsi="Calibri"/>
      <w:bCs/>
      <w:kern w:val="0"/>
      <w:sz w:val="22"/>
      <w:szCs w:val="22"/>
      <w14:ligatures w14:val="none"/>
    </w:rPr>
  </w:style>
  <w:style w:type="paragraph" w:styleId="a4">
    <w:name w:val="Balloon Text"/>
    <w:basedOn w:val="a"/>
    <w:link w:val="a5"/>
    <w:uiPriority w:val="99"/>
    <w:semiHidden/>
    <w:unhideWhenUsed/>
    <w:rsid w:val="00176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basedOn w:val="a0"/>
    <w:link w:val="a4"/>
    <w:uiPriority w:val="99"/>
    <w:semiHidden/>
    <w:rsid w:val="001768C5"/>
    <w:rPr>
      <w:rFonts w:ascii="Tahoma" w:hAnsi="Tahoma" w:cs="Tahoma"/>
      <w:sz w:val="16"/>
      <w:szCs w:val="16"/>
      <w:lang w:val="uk-UA"/>
    </w:rPr>
  </w:style>
  <w:style w:type="character" w:styleId="a6">
    <w:name w:val="Hyperlink"/>
    <w:basedOn w:val="a0"/>
    <w:uiPriority w:val="99"/>
    <w:unhideWhenUsed/>
    <w:rsid w:val="007F1832"/>
    <w:rPr>
      <w:color w:val="0563C1" w:themeColor="hyperlink"/>
      <w:u w:val="single"/>
    </w:rPr>
  </w:style>
  <w:style w:type="table" w:styleId="a7">
    <w:name w:val="Table Grid"/>
    <w:basedOn w:val="a1"/>
    <w:uiPriority w:val="39"/>
    <w:rsid w:val="006E7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endnote text"/>
    <w:basedOn w:val="a"/>
    <w:link w:val="a9"/>
    <w:uiPriority w:val="99"/>
    <w:semiHidden/>
    <w:unhideWhenUsed/>
    <w:rsid w:val="0070199C"/>
    <w:pPr>
      <w:spacing w:after="0" w:line="240" w:lineRule="auto"/>
    </w:pPr>
    <w:rPr>
      <w:sz w:val="20"/>
      <w:szCs w:val="20"/>
    </w:rPr>
  </w:style>
  <w:style w:type="character" w:customStyle="1" w:styleId="a9">
    <w:name w:val="Текст кінцевої виноски Знак"/>
    <w:basedOn w:val="a0"/>
    <w:link w:val="a8"/>
    <w:uiPriority w:val="99"/>
    <w:semiHidden/>
    <w:rsid w:val="0070199C"/>
    <w:rPr>
      <w:sz w:val="20"/>
      <w:szCs w:val="20"/>
      <w:lang w:val="uk-UA"/>
    </w:rPr>
  </w:style>
  <w:style w:type="character" w:styleId="aa">
    <w:name w:val="endnote reference"/>
    <w:qFormat/>
    <w:rsid w:val="0070199C"/>
    <w:rPr>
      <w:rFonts w:ascii="Times New Roman" w:hAnsi="Times New Roman"/>
      <w:dstrike w:val="0"/>
      <w:noProof w:val="0"/>
      <w:sz w:val="28"/>
      <w:effect w:val="none"/>
      <w:vertAlign w:val="baseline"/>
      <w:lang w:val="ru-RU"/>
    </w:rPr>
  </w:style>
  <w:style w:type="character" w:styleId="ab">
    <w:name w:val="Unresolved Mention"/>
    <w:basedOn w:val="a0"/>
    <w:uiPriority w:val="99"/>
    <w:semiHidden/>
    <w:unhideWhenUsed/>
    <w:rsid w:val="00F42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9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16" Type="http://schemas.openxmlformats.org/officeDocument/2006/relationships/oleObject" Target="embeddings/oleObject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8.wmf"/><Relationship Id="rId5" Type="http://schemas.openxmlformats.org/officeDocument/2006/relationships/footnotes" Target="footnotes.xml"/><Relationship Id="rId19" Type="http://schemas.openxmlformats.org/officeDocument/2006/relationships/image" Target="media/image8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image" Target="media/image2.jpeg"/><Relationship Id="rId51" Type="http://schemas.openxmlformats.org/officeDocument/2006/relationships/image" Target="media/image24.wmf"/><Relationship Id="rId72" Type="http://schemas.openxmlformats.org/officeDocument/2006/relationships/oleObject" Target="embeddings/oleObject32.bin"/><Relationship Id="rId80" Type="http://schemas.openxmlformats.org/officeDocument/2006/relationships/oleObject" Target="embeddings/oleObject36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1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9.wmf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4.bin"/><Relationship Id="rId7" Type="http://schemas.openxmlformats.org/officeDocument/2006/relationships/image" Target="media/image1.jpeg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66" Type="http://schemas.openxmlformats.org/officeDocument/2006/relationships/oleObject" Target="embeddings/oleObject29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5465</Words>
  <Characters>3116</Characters>
  <Application>Microsoft Office Word</Application>
  <DocSecurity>0</DocSecurity>
  <Lines>25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</dc:creator>
  <cp:keywords/>
  <dc:description/>
  <cp:lastModifiedBy>Victor Rebenko</cp:lastModifiedBy>
  <cp:revision>2</cp:revision>
  <dcterms:created xsi:type="dcterms:W3CDTF">2025-09-17T09:24:00Z</dcterms:created>
  <dcterms:modified xsi:type="dcterms:W3CDTF">2025-09-17T09:24:00Z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2f42487ca3a63c027a377f759c51b6fee6a280c8976e463b3d5f8de1850dbdc6</vt:lpwstr>
  </property>
</Properties>
</file>